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AB" w:rsidRDefault="00C461AB">
      <w:pPr>
        <w:widowControl w:val="0"/>
        <w:pBdr>
          <w:top w:val="nil"/>
          <w:left w:val="nil"/>
          <w:bottom w:val="nil"/>
          <w:right w:val="nil"/>
          <w:between w:val="nil"/>
        </w:pBdr>
        <w:spacing w:line="240" w:lineRule="auto"/>
        <w:rPr>
          <w:color w:val="000000"/>
          <w:sz w:val="12"/>
          <w:szCs w:val="12"/>
        </w:rPr>
      </w:pPr>
      <w:bookmarkStart w:id="0" w:name="_GoBack"/>
      <w:bookmarkEnd w:id="0"/>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am </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 on</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rPr>
                <w:rFonts w:ascii="Calibri" w:eastAsia="Calibri" w:hAnsi="Calibri" w:cs="Calibri"/>
                <w:b/>
                <w:sz w:val="28"/>
                <w:szCs w:val="28"/>
              </w:rPr>
            </w:pPr>
            <w:r>
              <w:rPr>
                <w:rFonts w:ascii="Calibri" w:eastAsia="Calibri" w:hAnsi="Calibri" w:cs="Calibri"/>
                <w:b/>
                <w:sz w:val="28"/>
                <w:szCs w:val="28"/>
              </w:rPr>
              <w:t>Attendees:</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Anne Lindsay, April Rohman, Betty Cox, Bill Richard, Dave Daley, Erin Grahek, Jason Normand, Jessica Gushulak, Joanne O’Connell, Lars Fujisato, Leslie Houston, Lynn Schemmer-Valleau, Maria Park, Robyn Johnson, Sarah Radclife, Scott Moore, </w:t>
            </w:r>
          </w:p>
          <w:p w:rsidR="00C461AB" w:rsidRDefault="00A3755B">
            <w:pPr>
              <w:widowControl w:val="0"/>
              <w:spacing w:line="240" w:lineRule="auto"/>
              <w:rPr>
                <w:rFonts w:ascii="Calibri" w:eastAsia="Calibri" w:hAnsi="Calibri" w:cs="Calibri"/>
                <w:b/>
                <w:sz w:val="28"/>
                <w:szCs w:val="28"/>
              </w:rPr>
            </w:pPr>
            <w:r>
              <w:rPr>
                <w:rFonts w:ascii="Calibri" w:eastAsia="Calibri" w:hAnsi="Calibri" w:cs="Calibri"/>
                <w:b/>
                <w:sz w:val="28"/>
                <w:szCs w:val="28"/>
              </w:rPr>
              <w:t>Not in attendanc</w:t>
            </w:r>
            <w:r>
              <w:rPr>
                <w:rFonts w:ascii="Calibri" w:eastAsia="Calibri" w:hAnsi="Calibri" w:cs="Calibri"/>
                <w:b/>
                <w:sz w:val="28"/>
                <w:szCs w:val="28"/>
              </w:rPr>
              <w:t>e:</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Bill Hulley, Lawrence Macy, Nellie Salvador</w:t>
            </w:r>
          </w:p>
        </w:tc>
      </w:tr>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Zoom review</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Opening - Land acknowledgement</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Erin Grahek</w:t>
            </w:r>
          </w:p>
        </w:tc>
      </w:tr>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and pronouns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Warm up!</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Reflection, Community and relationship building</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Scott Moore</w:t>
            </w:r>
          </w:p>
        </w:tc>
      </w:tr>
    </w:tbl>
    <w:p w:rsidR="00C461AB" w:rsidRDefault="00C461AB">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and meeting purpose </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C461AB">
        <w:trPr>
          <w:jc w:val="center"/>
        </w:trPr>
        <w:tc>
          <w:tcPr>
            <w:tcW w:w="10800" w:type="dxa"/>
            <w:gridSpan w:val="4"/>
            <w:tcMar>
              <w:top w:w="57" w:type="dxa"/>
              <w:left w:w="57" w:type="dxa"/>
              <w:bottom w:w="57" w:type="dxa"/>
              <w:right w:w="57" w:type="dxa"/>
            </w:tcMar>
          </w:tcPr>
          <w:p w:rsidR="00C461AB" w:rsidRDefault="00C461AB">
            <w:pPr>
              <w:widowControl w:val="0"/>
              <w:spacing w:line="240" w:lineRule="auto"/>
              <w:rPr>
                <w:rFonts w:ascii="Calibri" w:eastAsia="Calibri" w:hAnsi="Calibri" w:cs="Calibri"/>
                <w:sz w:val="28"/>
                <w:szCs w:val="28"/>
              </w:rPr>
            </w:pPr>
          </w:p>
        </w:tc>
      </w:tr>
    </w:tbl>
    <w:p w:rsidR="00C461AB" w:rsidRDefault="00C461AB">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(15 min)</w:t>
            </w:r>
          </w:p>
        </w:tc>
        <w:tc>
          <w:tcPr>
            <w:tcW w:w="3888" w:type="dxa"/>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sz w:val="28"/>
                <w:szCs w:val="28"/>
              </w:rPr>
            </w:pPr>
            <w:r>
              <w:rPr>
                <w:rFonts w:ascii="Calibri" w:eastAsia="Calibri" w:hAnsi="Calibri" w:cs="Calibri"/>
                <w:sz w:val="28"/>
                <w:szCs w:val="28"/>
              </w:rPr>
              <w:t>Public Comment and Member Updates</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Community Voice and Connections</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Scott</w:t>
            </w:r>
          </w:p>
        </w:tc>
      </w:tr>
      <w:tr w:rsidR="00C461AB">
        <w:trPr>
          <w:jc w:val="center"/>
        </w:trPr>
        <w:tc>
          <w:tcPr>
            <w:tcW w:w="10800" w:type="dxa"/>
            <w:gridSpan w:val="4"/>
            <w:tcMar>
              <w:top w:w="57" w:type="dxa"/>
              <w:left w:w="57" w:type="dxa"/>
              <w:bottom w:w="57" w:type="dxa"/>
              <w:right w:w="57" w:type="dxa"/>
            </w:tcMar>
          </w:tcPr>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Anne: Medicare open enrollment is open from October 15 to December 2021. SHIBA volunteers are available for counselling on plan selection. Appointments with a SHIBA counselor can be made by calling the ADRC Helpline (503) 988-3646. </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Scott: The State legisl</w:t>
            </w:r>
            <w:r>
              <w:rPr>
                <w:rFonts w:ascii="Calibri" w:eastAsia="Calibri" w:hAnsi="Calibri" w:cs="Calibri"/>
                <w:sz w:val="28"/>
                <w:szCs w:val="28"/>
              </w:rPr>
              <w:t>ature approved about $2 million for behavioral health support ending inequities. Additional $5 million for planning grants ($50,000 per grant). Numerous organizations in Portland have received grants. These grants give opportunity for community organizatio</w:t>
            </w:r>
            <w:r>
              <w:rPr>
                <w:rFonts w:ascii="Calibri" w:eastAsia="Calibri" w:hAnsi="Calibri" w:cs="Calibri"/>
                <w:sz w:val="28"/>
                <w:szCs w:val="28"/>
              </w:rPr>
              <w:t xml:space="preserve">ns to reach out to specific populations such as LGBTQ. Other opportunities in recovery home transition to permanent housing to include wrap around </w:t>
            </w:r>
            <w:r>
              <w:rPr>
                <w:rFonts w:ascii="Calibri" w:eastAsia="Calibri" w:hAnsi="Calibri" w:cs="Calibri"/>
                <w:sz w:val="28"/>
                <w:szCs w:val="28"/>
              </w:rPr>
              <w:lastRenderedPageBreak/>
              <w:t>services -- housing first/stable housing services; substance use disorder treatment and other behavioral heal</w:t>
            </w:r>
            <w:r>
              <w:rPr>
                <w:rFonts w:ascii="Calibri" w:eastAsia="Calibri" w:hAnsi="Calibri" w:cs="Calibri"/>
                <w:sz w:val="28"/>
                <w:szCs w:val="28"/>
              </w:rPr>
              <w:t xml:space="preserve">th support. </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Robyn: ADVSD is partnering with community health clinics, the HIV and AIDS community health clinic in commemoration of World AIDS Day, December 1st. Parts of the AIDS quilt will be viewable at an observational (virtual) event. </w:t>
            </w:r>
          </w:p>
        </w:tc>
      </w:tr>
    </w:tbl>
    <w:p w:rsidR="00C461AB" w:rsidRDefault="00C461AB">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11:40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(35 mins)</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Transportation (continued)</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Program overview and update</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Non-Emergent Medical Transportation overview (NEMT)</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Information and shared understanding</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ADVSD Staff and CCO Staff (invited)</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Continued presentation at the transportation survey that ADVSD conducts. Transportation services coordination are included in enhancing equity provider contracts.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Overview of NEMT. A more in depth presentation will be done in November 2021. </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For those who </w:t>
            </w:r>
            <w:r>
              <w:rPr>
                <w:rFonts w:ascii="Calibri" w:eastAsia="Calibri" w:hAnsi="Calibri" w:cs="Calibri"/>
                <w:sz w:val="28"/>
                <w:szCs w:val="28"/>
              </w:rPr>
              <w:t>are ambulatory and have monthly recurring appointments (3 or more) may be eligible for a monthly TriMet pass.</w:t>
            </w:r>
          </w:p>
        </w:tc>
      </w:tr>
    </w:tbl>
    <w:p w:rsidR="00C461AB" w:rsidRDefault="00C461AB">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12:00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ASAC members</w:t>
            </w:r>
          </w:p>
        </w:tc>
      </w:tr>
    </w:tbl>
    <w:p w:rsidR="00C461AB" w:rsidRDefault="00C461AB">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(25 min) </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ASAC Member Transportation Work session</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Strategy</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Advocacy</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Work session for ASAC members to discuss Transportation</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ASAC Members (Scott)</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 Dave: Propose connection between ADVSD and TriMet certification.</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Robyn: Clarify part ADVSD staff play in determining eligibility.</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Anne: A better coordinated approach between TriMet and the County to increase the number that are eligible for transportation services through TriMet -- not needing increased funding by the County. People with behavioral health (and other health issues) ar</w:t>
            </w:r>
            <w:r>
              <w:rPr>
                <w:rFonts w:ascii="Calibri" w:eastAsia="Calibri" w:hAnsi="Calibri" w:cs="Calibri"/>
                <w:sz w:val="28"/>
                <w:szCs w:val="28"/>
              </w:rPr>
              <w:t xml:space="preserve">e not able to use regular TriMet services and would be better served by LIFT. However, there is no funding for those experiencing those issues. The high cost of LIFT makes it unaffordable for many. </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Robyn: ASAC and DSAC form an ad hoc subgroup to clarify a</w:t>
            </w:r>
            <w:r>
              <w:rPr>
                <w:rFonts w:ascii="Calibri" w:eastAsia="Calibri" w:hAnsi="Calibri" w:cs="Calibri"/>
                <w:sz w:val="28"/>
                <w:szCs w:val="28"/>
              </w:rPr>
              <w:t xml:space="preserve">nd refine what data is needed; information from providers; then develop an advocacy strategy to present to ADVSD. Then </w:t>
            </w:r>
            <w:r>
              <w:rPr>
                <w:rFonts w:ascii="Calibri" w:eastAsia="Calibri" w:hAnsi="Calibri" w:cs="Calibri"/>
                <w:sz w:val="28"/>
                <w:szCs w:val="28"/>
              </w:rPr>
              <w:lastRenderedPageBreak/>
              <w:t xml:space="preserve">also a TriMet proposal. </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Scott: Individuals do not have an agency or constituent clearly identified for issues and opinions. </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Subgroup: S</w:t>
            </w:r>
            <w:r>
              <w:rPr>
                <w:rFonts w:ascii="Calibri" w:eastAsia="Calibri" w:hAnsi="Calibri" w:cs="Calibri"/>
                <w:sz w:val="28"/>
                <w:szCs w:val="28"/>
              </w:rPr>
              <w:t>teve, Betty, Scott</w:t>
            </w:r>
          </w:p>
          <w:p w:rsidR="00C461AB" w:rsidRDefault="00A3755B">
            <w:pPr>
              <w:widowControl w:val="0"/>
              <w:numPr>
                <w:ilvl w:val="0"/>
                <w:numId w:val="4"/>
              </w:numPr>
              <w:pBdr>
                <w:top w:val="nil"/>
                <w:left w:val="nil"/>
                <w:bottom w:val="nil"/>
                <w:right w:val="nil"/>
                <w:between w:val="nil"/>
              </w:pBdr>
              <w:spacing w:line="240" w:lineRule="auto"/>
              <w:ind w:left="355"/>
              <w:rPr>
                <w:rFonts w:ascii="Calibri" w:eastAsia="Calibri" w:hAnsi="Calibri" w:cs="Calibri"/>
                <w:sz w:val="28"/>
                <w:szCs w:val="28"/>
              </w:rPr>
            </w:pPr>
            <w:r>
              <w:rPr>
                <w:rFonts w:ascii="Calibri" w:eastAsia="Calibri" w:hAnsi="Calibri" w:cs="Calibri"/>
                <w:sz w:val="28"/>
                <w:szCs w:val="28"/>
              </w:rPr>
              <w:t xml:space="preserve">Scott: Stories from family and friends are important and valuable. </w:t>
            </w:r>
          </w:p>
        </w:tc>
      </w:tr>
    </w:tbl>
    <w:p w:rsidR="00C461AB" w:rsidRDefault="00C461AB">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12:30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(20 min)</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ADVSD Updates</w:t>
            </w:r>
          </w:p>
          <w:p w:rsidR="00C461AB" w:rsidRDefault="00A3755B">
            <w:pPr>
              <w:widowControl w:val="0"/>
              <w:numPr>
                <w:ilvl w:val="0"/>
                <w:numId w:val="1"/>
              </w:numPr>
              <w:spacing w:line="240" w:lineRule="auto"/>
              <w:ind w:left="387"/>
              <w:rPr>
                <w:rFonts w:ascii="Calibri" w:eastAsia="Calibri" w:hAnsi="Calibri" w:cs="Calibri"/>
                <w:sz w:val="28"/>
                <w:szCs w:val="28"/>
              </w:rPr>
            </w:pPr>
            <w:r>
              <w:rPr>
                <w:rFonts w:ascii="Calibri" w:eastAsia="Calibri" w:hAnsi="Calibri" w:cs="Calibri"/>
                <w:sz w:val="28"/>
                <w:szCs w:val="28"/>
              </w:rPr>
              <w:t>COVID-19 Attestation</w:t>
            </w:r>
          </w:p>
          <w:p w:rsidR="00C461AB" w:rsidRDefault="00A3755B">
            <w:pPr>
              <w:widowControl w:val="0"/>
              <w:numPr>
                <w:ilvl w:val="0"/>
                <w:numId w:val="1"/>
              </w:numPr>
              <w:spacing w:line="240" w:lineRule="auto"/>
              <w:ind w:left="387"/>
              <w:rPr>
                <w:rFonts w:ascii="Calibri" w:eastAsia="Calibri" w:hAnsi="Calibri" w:cs="Calibri"/>
                <w:sz w:val="28"/>
                <w:szCs w:val="28"/>
              </w:rPr>
            </w:pPr>
            <w:r>
              <w:rPr>
                <w:rFonts w:ascii="Calibri" w:eastAsia="Calibri" w:hAnsi="Calibri" w:cs="Calibri"/>
                <w:sz w:val="28"/>
                <w:szCs w:val="28"/>
              </w:rPr>
              <w:t>1115 Waiver and workgroup</w:t>
            </w:r>
          </w:p>
          <w:p w:rsidR="00C461AB" w:rsidRDefault="00A3755B">
            <w:pPr>
              <w:widowControl w:val="0"/>
              <w:numPr>
                <w:ilvl w:val="0"/>
                <w:numId w:val="1"/>
              </w:numPr>
              <w:spacing w:line="240" w:lineRule="auto"/>
              <w:ind w:left="387"/>
              <w:rPr>
                <w:rFonts w:ascii="Calibri" w:eastAsia="Calibri" w:hAnsi="Calibri" w:cs="Calibri"/>
                <w:sz w:val="28"/>
                <w:szCs w:val="28"/>
              </w:rPr>
            </w:pPr>
            <w:r>
              <w:rPr>
                <w:rFonts w:ascii="Calibri" w:eastAsia="Calibri" w:hAnsi="Calibri" w:cs="Calibri"/>
                <w:sz w:val="28"/>
                <w:szCs w:val="28"/>
              </w:rPr>
              <w:t>ADVSD budget modification Presentation</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Adult Protective Services (APS) Client Alert</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dialogue</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ADVSD Leadership and ASAC members</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Vaccination requirement does not apply when meeting virtually. However, in-person meetings will require COVID-19 attestation.</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The ADVSD budget increased signifi</w:t>
            </w:r>
            <w:r>
              <w:rPr>
                <w:rFonts w:ascii="Calibri" w:eastAsia="Calibri" w:hAnsi="Calibri" w:cs="Calibri"/>
                <w:sz w:val="28"/>
                <w:szCs w:val="28"/>
              </w:rPr>
              <w:t>cantly. $11 million Medicaid; $500,000 Older Americans Act; Add 66 staff positions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Request for comment on the 1115 Waiver will go out this week. </w:t>
            </w:r>
          </w:p>
        </w:tc>
      </w:tr>
    </w:tbl>
    <w:p w:rsidR="00C461AB" w:rsidRDefault="00C461AB">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12:50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3888" w:type="dxa"/>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sz w:val="28"/>
                <w:szCs w:val="28"/>
              </w:rPr>
            </w:pPr>
            <w:r>
              <w:rPr>
                <w:rFonts w:ascii="Calibri" w:eastAsia="Calibri" w:hAnsi="Calibri" w:cs="Calibri"/>
                <w:sz w:val="28"/>
                <w:szCs w:val="28"/>
              </w:rPr>
              <w:t>Next meeting planning</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Agreement on how ASAC will spend its time next meeting</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Scott and ASAC</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NEMT updates from Trillium and HealthShare.</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Overview of the Adult Care Home Program and the formation of a rules and regulations advisory committee (advisory council member participation encouraged).</w:t>
            </w:r>
          </w:p>
        </w:tc>
      </w:tr>
    </w:tbl>
    <w:p w:rsidR="00C461AB" w:rsidRDefault="00C461AB">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12:50</w:t>
            </w:r>
          </w:p>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(10 mins)</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Closing - Check out</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What went well today? </w:t>
            </w:r>
          </w:p>
          <w:p w:rsidR="00C461AB" w:rsidRDefault="00A3755B">
            <w:pPr>
              <w:widowControl w:val="0"/>
              <w:numPr>
                <w:ilvl w:val="0"/>
                <w:numId w:val="4"/>
              </w:numPr>
              <w:spacing w:line="240" w:lineRule="auto"/>
              <w:ind w:left="355"/>
              <w:rPr>
                <w:rFonts w:ascii="Calibri" w:eastAsia="Calibri" w:hAnsi="Calibri" w:cs="Calibri"/>
                <w:sz w:val="28"/>
                <w:szCs w:val="28"/>
              </w:rPr>
            </w:pPr>
            <w:r>
              <w:rPr>
                <w:rFonts w:ascii="Calibri" w:eastAsia="Calibri" w:hAnsi="Calibri" w:cs="Calibri"/>
                <w:sz w:val="28"/>
                <w:szCs w:val="28"/>
              </w:rPr>
              <w:t xml:space="preserve">What could be adjusted for next time? </w:t>
            </w:r>
          </w:p>
        </w:tc>
        <w:tc>
          <w:tcPr>
            <w:tcW w:w="345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Sharing and improvement</w:t>
            </w: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C461AB">
        <w:trPr>
          <w:jc w:val="center"/>
        </w:trPr>
        <w:tc>
          <w:tcPr>
            <w:tcW w:w="10800" w:type="dxa"/>
            <w:gridSpan w:val="4"/>
            <w:tcMar>
              <w:top w:w="57" w:type="dxa"/>
              <w:left w:w="57" w:type="dxa"/>
              <w:bottom w:w="57" w:type="dxa"/>
              <w:right w:w="57" w:type="dxa"/>
            </w:tcMar>
          </w:tcPr>
          <w:p w:rsidR="00C461AB" w:rsidRDefault="00A3755B">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C461AB" w:rsidRDefault="00C461AB">
            <w:pPr>
              <w:widowControl w:val="0"/>
              <w:numPr>
                <w:ilvl w:val="0"/>
                <w:numId w:val="4"/>
              </w:numPr>
              <w:spacing w:line="240" w:lineRule="auto"/>
              <w:ind w:left="355"/>
              <w:rPr>
                <w:rFonts w:ascii="Calibri" w:eastAsia="Calibri" w:hAnsi="Calibri" w:cs="Calibri"/>
                <w:sz w:val="28"/>
                <w:szCs w:val="28"/>
              </w:rPr>
            </w:pPr>
          </w:p>
        </w:tc>
      </w:tr>
    </w:tbl>
    <w:p w:rsidR="00C461AB" w:rsidRDefault="00C461AB">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C461AB" w:rsidRDefault="00C461AB">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C461AB" w:rsidRDefault="00A3755B">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C461AB" w:rsidRDefault="00C461AB">
      <w:pPr>
        <w:spacing w:line="240" w:lineRule="auto"/>
        <w:rPr>
          <w:rFonts w:ascii="Calibri" w:eastAsia="Calibri" w:hAnsi="Calibri" w:cs="Calibri"/>
          <w:sz w:val="28"/>
          <w:szCs w:val="28"/>
        </w:rPr>
      </w:pPr>
    </w:p>
    <w:p w:rsidR="00C461AB" w:rsidRDefault="00A3755B">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Upcoming Meetings: </w:t>
      </w:r>
    </w:p>
    <w:p w:rsidR="00C461AB" w:rsidRDefault="00A3755B">
      <w:pPr>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November 16, 2021, 11am -1pm  </w:t>
      </w:r>
    </w:p>
    <w:p w:rsidR="00C461AB" w:rsidRDefault="00C461AB">
      <w:pPr>
        <w:spacing w:line="240" w:lineRule="auto"/>
        <w:rPr>
          <w:rFonts w:ascii="Calibri" w:eastAsia="Calibri" w:hAnsi="Calibri" w:cs="Calibri"/>
          <w:sz w:val="28"/>
          <w:szCs w:val="28"/>
          <w:u w:val="single"/>
        </w:rPr>
      </w:pPr>
    </w:p>
    <w:p w:rsidR="00C461AB" w:rsidRDefault="00A3755B">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C461AB" w:rsidRDefault="00A3755B">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C461AB" w:rsidRDefault="00A3755B">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t>
      </w:r>
      <w:r>
        <w:rPr>
          <w:rFonts w:ascii="Calibri" w:eastAsia="Calibri" w:hAnsi="Calibri" w:cs="Calibri"/>
          <w:color w:val="000000"/>
          <w:sz w:val="28"/>
          <w:szCs w:val="28"/>
        </w:rPr>
        <w:t>work unit of the Oregon Department of Human Services</w:t>
      </w:r>
    </w:p>
    <w:p w:rsidR="00C461AB" w:rsidRDefault="00A3755B">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C461AB" w:rsidRDefault="00A3755B">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C461AB" w:rsidRDefault="00A3755B">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C461AB" w:rsidRDefault="00A3755B">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C461AB" w:rsidRDefault="00A3755B">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C461AB" w:rsidRDefault="00A3755B">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as DHS)</w:t>
      </w:r>
    </w:p>
    <w:p w:rsidR="00C461AB" w:rsidRDefault="00C461AB">
      <w:pPr>
        <w:spacing w:line="240" w:lineRule="auto"/>
        <w:rPr>
          <w:rFonts w:ascii="Calibri" w:eastAsia="Calibri" w:hAnsi="Calibri" w:cs="Calibri"/>
          <w:sz w:val="28"/>
          <w:szCs w:val="28"/>
        </w:rPr>
      </w:pPr>
    </w:p>
    <w:sectPr w:rsidR="00C461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5B" w:rsidRDefault="00A3755B">
      <w:pPr>
        <w:spacing w:line="240" w:lineRule="auto"/>
      </w:pPr>
      <w:r>
        <w:separator/>
      </w:r>
    </w:p>
  </w:endnote>
  <w:endnote w:type="continuationSeparator" w:id="0">
    <w:p w:rsidR="00A3755B" w:rsidRDefault="00A37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C461A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A3755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30057F">
      <w:rPr>
        <w:rFonts w:ascii="Calibri" w:eastAsia="Calibri" w:hAnsi="Calibri" w:cs="Calibri"/>
        <w:color w:val="000000"/>
        <w:sz w:val="28"/>
        <w:szCs w:val="28"/>
      </w:rPr>
      <w:fldChar w:fldCharType="separate"/>
    </w:r>
    <w:r w:rsidR="0030057F">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A3755B">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30057F">
      <w:rPr>
        <w:rFonts w:ascii="Calibri" w:eastAsia="Calibri" w:hAnsi="Calibri" w:cs="Calibri"/>
        <w:color w:val="000000"/>
        <w:sz w:val="28"/>
        <w:szCs w:val="28"/>
      </w:rPr>
      <w:fldChar w:fldCharType="separate"/>
    </w:r>
    <w:r w:rsidR="0030057F">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5B" w:rsidRDefault="00A3755B">
      <w:pPr>
        <w:spacing w:line="240" w:lineRule="auto"/>
      </w:pPr>
      <w:r>
        <w:separator/>
      </w:r>
    </w:p>
  </w:footnote>
  <w:footnote w:type="continuationSeparator" w:id="0">
    <w:p w:rsidR="00A3755B" w:rsidRDefault="00A37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C461A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C461AB">
    <w:pPr>
      <w:widowControl w:val="0"/>
      <w:pBdr>
        <w:top w:val="nil"/>
        <w:left w:val="nil"/>
        <w:bottom w:val="nil"/>
        <w:right w:val="nil"/>
        <w:between w:val="nil"/>
      </w:pBdr>
      <w:rPr>
        <w:rFonts w:ascii="Calibri" w:eastAsia="Calibri" w:hAnsi="Calibri" w:cs="Calibri"/>
        <w:sz w:val="28"/>
        <w:szCs w:val="28"/>
      </w:rPr>
    </w:pPr>
  </w:p>
  <w:tbl>
    <w:tblPr>
      <w:tblStyle w:val="a9"/>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461AB" w:rsidRDefault="00C461AB">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AB" w:rsidRDefault="00A3755B">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-28574</wp:posOffset>
          </wp:positionV>
          <wp:extent cx="1188720" cy="11887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8720" cy="1188720"/>
                  </a:xfrm>
                  <a:prstGeom prst="rect">
                    <a:avLst/>
                  </a:prstGeom>
                  <a:ln/>
                </pic:spPr>
              </pic:pic>
            </a:graphicData>
          </a:graphic>
        </wp:anchor>
      </w:drawing>
    </w:r>
  </w:p>
  <w:p w:rsidR="00C461AB" w:rsidRDefault="00A3755B">
    <w:pPr>
      <w:spacing w:line="240" w:lineRule="auto"/>
      <w:jc w:val="right"/>
      <w:rPr>
        <w:b/>
        <w:sz w:val="28"/>
        <w:szCs w:val="28"/>
      </w:rPr>
    </w:pPr>
    <w:r>
      <w:rPr>
        <w:b/>
        <w:sz w:val="28"/>
        <w:szCs w:val="28"/>
      </w:rPr>
      <w:t>Aging Services Advisory Council Meeting</w:t>
    </w:r>
  </w:p>
  <w:p w:rsidR="00C461AB" w:rsidRDefault="00A3755B">
    <w:pPr>
      <w:spacing w:line="240" w:lineRule="auto"/>
      <w:ind w:firstLine="720"/>
      <w:jc w:val="right"/>
      <w:rPr>
        <w:sz w:val="28"/>
        <w:szCs w:val="28"/>
      </w:rPr>
    </w:pPr>
    <w:r>
      <w:rPr>
        <w:sz w:val="28"/>
        <w:szCs w:val="28"/>
      </w:rPr>
      <w:t>Tuesday, October 19, 2021, 11:00 - 1:00 pm</w:t>
    </w:r>
  </w:p>
  <w:p w:rsidR="00C461AB" w:rsidRDefault="00A3755B">
    <w:pPr>
      <w:spacing w:line="240" w:lineRule="auto"/>
      <w:jc w:val="right"/>
      <w:rPr>
        <w:sz w:val="28"/>
        <w:szCs w:val="28"/>
      </w:rPr>
    </w:pPr>
    <w:hyperlink r:id="rId2">
      <w:r>
        <w:rPr>
          <w:color w:val="0563C1"/>
          <w:sz w:val="28"/>
          <w:szCs w:val="28"/>
          <w:u w:val="single"/>
        </w:rPr>
        <w:t>Via Zoom</w:t>
      </w:r>
    </w:hyperlink>
  </w:p>
  <w:p w:rsidR="00C461AB" w:rsidRDefault="00A3755B">
    <w:pPr>
      <w:spacing w:line="240" w:lineRule="auto"/>
      <w:jc w:val="right"/>
      <w:rPr>
        <w:sz w:val="28"/>
        <w:szCs w:val="28"/>
      </w:rPr>
    </w:pPr>
    <w:r>
      <w:rPr>
        <w:sz w:val="28"/>
        <w:szCs w:val="28"/>
      </w:rPr>
      <w:t>Meeting ID: 969 3403 8072</w:t>
    </w:r>
  </w:p>
  <w:p w:rsidR="00C461AB" w:rsidRDefault="00A3755B">
    <w:pPr>
      <w:spacing w:line="240" w:lineRule="auto"/>
      <w:jc w:val="right"/>
      <w:rPr>
        <w:sz w:val="28"/>
        <w:szCs w:val="28"/>
      </w:rPr>
    </w:pPr>
    <w:r>
      <w:rPr>
        <w:sz w:val="28"/>
        <w:szCs w:val="28"/>
      </w:rPr>
      <w:t>Passcode: 2122ASAC!</w:t>
    </w:r>
  </w:p>
  <w:tbl>
    <w:tblPr>
      <w:tblStyle w:val="aa"/>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C461AB">
      <w:trPr>
        <w:jc w:val="center"/>
      </w:trPr>
      <w:tc>
        <w:tcPr>
          <w:tcW w:w="1440"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C461AB" w:rsidRDefault="00A3755B">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C461AB" w:rsidRDefault="00C461AB">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E664F"/>
    <w:multiLevelType w:val="multilevel"/>
    <w:tmpl w:val="4F5AA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AF3D71"/>
    <w:multiLevelType w:val="multilevel"/>
    <w:tmpl w:val="D4FC7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3F1B79"/>
    <w:multiLevelType w:val="multilevel"/>
    <w:tmpl w:val="6B868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32B29"/>
    <w:multiLevelType w:val="multilevel"/>
    <w:tmpl w:val="06ECF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AB"/>
    <w:rsid w:val="0030057F"/>
    <w:rsid w:val="00A3755B"/>
    <w:rsid w:val="00C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D22DC-D6C2-4C76-BCD3-02D2350C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2021-11-12T23:06:00Z</dcterms:created>
  <dcterms:modified xsi:type="dcterms:W3CDTF">2021-11-12T23:06:00Z</dcterms:modified>
</cp:coreProperties>
</file>