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94" w:rsidRPr="00C80694" w:rsidRDefault="00C80694" w:rsidP="00C806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5"/>
        <w:gridCol w:w="12"/>
      </w:tblGrid>
      <w:tr w:rsidR="00C80694" w:rsidRPr="00C80694" w:rsidTr="00C80694">
        <w:tc>
          <w:tcPr>
            <w:tcW w:w="8236" w:type="dxa"/>
            <w:noWrap/>
            <w:hideMark/>
          </w:tcPr>
          <w:tbl>
            <w:tblPr>
              <w:tblW w:w="81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</w:tblGrid>
            <w:tr w:rsidR="00C80694" w:rsidRPr="00C80694">
              <w:tc>
                <w:tcPr>
                  <w:tcW w:w="0" w:type="auto"/>
                  <w:vAlign w:val="center"/>
                  <w:hideMark/>
                </w:tcPr>
                <w:p w:rsidR="00C80694" w:rsidRPr="00C80694" w:rsidRDefault="0046498C" w:rsidP="00C8069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39C5A1B" wp14:editId="1713DAE8">
                        <wp:extent cx="5943600" cy="393128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3931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0694" w:rsidRPr="00C80694" w:rsidRDefault="00C80694" w:rsidP="00C80694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80694" w:rsidRPr="00C80694" w:rsidRDefault="00C80694" w:rsidP="00C806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80694" w:rsidRPr="00C80694" w:rsidRDefault="00C80694" w:rsidP="00C8069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C8069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344B1115" wp14:editId="3EDB1DEF">
                  <wp:extent cx="8890" cy="8890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694" w:rsidRPr="00C80694" w:rsidRDefault="00C80694" w:rsidP="00C80694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C80694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7718225A" wp14:editId="73EAD04D">
                  <wp:extent cx="8890" cy="8890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94" w:rsidRPr="00C80694" w:rsidTr="00C80694">
        <w:trPr>
          <w:gridAfter w:val="2"/>
        </w:trPr>
        <w:tc>
          <w:tcPr>
            <w:tcW w:w="0" w:type="auto"/>
            <w:vAlign w:val="center"/>
            <w:hideMark/>
          </w:tcPr>
          <w:p w:rsidR="00C80694" w:rsidRPr="00C80694" w:rsidRDefault="00C80694" w:rsidP="00C80694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  <w:tr w:rsidR="00C80694" w:rsidRPr="00C80694" w:rsidTr="00C80694">
        <w:tblPrEx>
          <w:tblCellSpacing w:w="0" w:type="dxa"/>
        </w:tblPrEx>
        <w:trPr>
          <w:tblCellSpacing w:w="0" w:type="dxa"/>
        </w:trPr>
        <w:tc>
          <w:tcPr>
            <w:tcW w:w="0" w:type="auto"/>
            <w:gridSpan w:val="3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80694" w:rsidRPr="00C80694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80694" w:rsidRPr="00C80694" w:rsidRDefault="00C80694" w:rsidP="00C80694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  <w:tr w:rsidR="00C80694" w:rsidRPr="00C806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C80694" w:rsidRPr="00C8069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C80694" w:rsidRPr="00C8069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C80694" w:rsidRPr="00C8069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6"/>
                                          </w:tblGrid>
                                          <w:tr w:rsidR="00C80694" w:rsidRPr="00C8069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056"/>
                                                </w:tblGrid>
                                                <w:tr w:rsidR="00C80694" w:rsidRPr="00C806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525" w:type="dxa"/>
                                                        <w:bottom w:w="150" w:type="dxa"/>
                                                        <w:right w:w="52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80694" w:rsidRPr="00C80694" w:rsidRDefault="00C80694" w:rsidP="00C8069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80694" w:rsidRPr="00C80694" w:rsidRDefault="00C80694" w:rsidP="00C806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80694" w:rsidRPr="00C80694" w:rsidRDefault="00C80694" w:rsidP="00C8069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0694" w:rsidRPr="00C80694" w:rsidRDefault="00C80694" w:rsidP="00C8069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510"/>
                                    </w:tblGrid>
                                    <w:tr w:rsidR="00C80694" w:rsidRPr="00C8069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300" w:type="dxa"/>
                                            <w:left w:w="600" w:type="dxa"/>
                                            <w:bottom w:w="300" w:type="dxa"/>
                                            <w:right w:w="600" w:type="dxa"/>
                                          </w:tcMar>
                                          <w:hideMark/>
                                        </w:tcPr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The Portland Consortium includes the City of Gresham, City of Portland, and Multnomah County. An approved five-year Consolidated Plan and annual Action Plans are requirements to receive federal entitlement funding from HUD for the four affordable housing and community development programs: CDBG, HOME, HOPWA and ESG. In Fall 2021, HUD approved the Consortium’s five-year Consolidated Plan (FY 2021-25) and the Annual Action Plan FY 2021-22. Any changes to funding levels, purpose, scope, location, eligibility, or type of beneficiaries of an activity triggers the requirement for amending the Consolidated Plan and/or Action Plan. The special HOME-ARP allocation in April 2021 triggers the need for a substantial amendment. The purpose of this allocation is to serve households who are at greatest risk of </w:t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housing instability, including individuals and families experiencing homelessness and/or who are at imminent risk of becoming homeless. Meeting this requirement, this Portland Consortium HOME-ARP Allocation Plan is the substantial amendment to the adopted Action Plan FY 2021-22. </w:t>
                                          </w:r>
                                        </w:p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The HOME-ARP Allocation Plan Community Hearing is to share the highlights of the Plan and to invite public comments. Due to the public health crisis, the hearing </w:t>
                                          </w:r>
                                          <w:proofErr w:type="gramStart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is being held</w:t>
                                          </w:r>
                                          <w:proofErr w:type="gramEnd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 remotely via Zoom. Following are the relevant details of the hearing:</w:t>
                                          </w:r>
                                        </w:p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649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Portland Consortium HOME-ARP Allocation Plan Community Hearing</w:t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46498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Thursday, March 17, 2022, 4:00 P.M.– 5:00 P.M. via Zoom</w:t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Register in advance for this meeting @</w:t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46498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27829E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HOME-ARP Allocation Plan Community He</w:t>
                                            </w:r>
                                            <w:bookmarkStart w:id="0" w:name="_GoBack"/>
                                            <w:bookmarkEnd w:id="0"/>
                                            <w:r w:rsidRPr="0046498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27829E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a</w:t>
                                            </w:r>
                                            <w:r w:rsidRPr="0046498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27829E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ring | Portland.gov</w:t>
                                            </w:r>
                                          </w:hyperlink>
                                        </w:p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C80694" w:rsidRPr="00C80694" w:rsidRDefault="00C80694" w:rsidP="00C80694">
                                          <w:pPr>
                                            <w:spacing w:after="15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The Portland Consortium’s draft HOME-ARP Allocation Plan will be available on our website </w:t>
                                          </w:r>
                                          <w:hyperlink r:id="rId7" w:tgtFrame="_blank" w:history="1">
                                            <w:r w:rsidRPr="0046498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27829E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Consolidated Plan/Action Plan Portland Consortium</w:t>
                                            </w:r>
                                          </w:hyperlink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 for public review and comments starting Wednesday, March 16, 2022. Public comments </w:t>
                                          </w:r>
                                          <w:proofErr w:type="gramStart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will be taken</w:t>
                                          </w:r>
                                          <w:proofErr w:type="gramEnd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 over a 20-day comment period ending on Monday, April 4, 2022. Physical copies </w:t>
                                          </w:r>
                                          <w:proofErr w:type="gramStart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will be made</w:t>
                                          </w:r>
                                          <w:proofErr w:type="gramEnd"/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 xml:space="preserve"> available upon request.</w:t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For more information on the HOME-ARP Allocation Plan or to submit written comments please contact Uma Krishnan, via e-mail: </w:t>
                                          </w:r>
                                          <w:hyperlink r:id="rId8" w:tgtFrame="_blank" w:history="1">
                                            <w:r w:rsidRPr="0046498C">
                                              <w:rPr>
                                                <w:rFonts w:ascii="Arial" w:eastAsia="Times New Roman" w:hAnsi="Arial" w:cs="Arial"/>
                                                <w:color w:val="333333"/>
                                                <w:sz w:val="28"/>
                                                <w:szCs w:val="28"/>
                                                <w:u w:val="single"/>
                                              </w:rPr>
                                              <w:t>uma.krishnan@portlandoregon.gov</w:t>
                                            </w:r>
                                          </w:hyperlink>
                                          <w:r w:rsidRPr="00C80694"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0694" w:rsidRPr="00C80694" w:rsidRDefault="00C80694" w:rsidP="00C8069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vanish/>
                                  <w:sz w:val="28"/>
                                  <w:szCs w:val="28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00"/>
                              </w:tblGrid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C80694" w:rsidRPr="00C8069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50"/>
                                    </w:tblGrid>
                                    <w:tr w:rsidR="00C80694" w:rsidRPr="00C8069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6"/>
                                          </w:tblGrid>
                                          <w:tr w:rsidR="00C80694" w:rsidRPr="00C80694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6"/>
                                                </w:tblGrid>
                                                <w:tr w:rsidR="00C80694" w:rsidRPr="00C80694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975" w:type="dxa"/>
                                                        <w:bottom w:w="150" w:type="dxa"/>
                                                        <w:right w:w="397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80694" w:rsidRPr="00C80694" w:rsidRDefault="00C80694" w:rsidP="00C80694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80694" w:rsidRPr="00C80694" w:rsidRDefault="00C80694" w:rsidP="00C8069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80694" w:rsidRPr="00C80694" w:rsidRDefault="00C80694" w:rsidP="00C8069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80694" w:rsidRPr="00C80694" w:rsidRDefault="00C80694" w:rsidP="00C80694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0694" w:rsidRPr="00C80694" w:rsidRDefault="00C80694" w:rsidP="00C80694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80694" w:rsidRPr="00C80694" w:rsidRDefault="00C80694" w:rsidP="00C80694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80694" w:rsidRPr="00C80694" w:rsidRDefault="00C80694" w:rsidP="00C80694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8"/>
                      <w:szCs w:val="28"/>
                    </w:rPr>
                  </w:pPr>
                </w:p>
              </w:tc>
            </w:tr>
          </w:tbl>
          <w:p w:rsidR="00C80694" w:rsidRPr="00C80694" w:rsidRDefault="00C80694" w:rsidP="00C806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</w:tc>
      </w:tr>
    </w:tbl>
    <w:p w:rsidR="00DB405C" w:rsidRDefault="00645123"/>
    <w:sectPr w:rsidR="00DB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4"/>
    <w:rsid w:val="0046498C"/>
    <w:rsid w:val="00645123"/>
    <w:rsid w:val="006F316C"/>
    <w:rsid w:val="007B3204"/>
    <w:rsid w:val="00C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C4D0"/>
  <w15:chartTrackingRefBased/>
  <w15:docId w15:val="{F3928B53-7922-4B6D-A90C-6221409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0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06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C80694"/>
  </w:style>
  <w:style w:type="character" w:customStyle="1" w:styleId="gd">
    <w:name w:val="gd"/>
    <w:basedOn w:val="DefaultParagraphFont"/>
    <w:rsid w:val="00C80694"/>
  </w:style>
  <w:style w:type="character" w:customStyle="1" w:styleId="go">
    <w:name w:val="go"/>
    <w:basedOn w:val="DefaultParagraphFont"/>
    <w:rsid w:val="00C80694"/>
  </w:style>
  <w:style w:type="character" w:styleId="Hyperlink">
    <w:name w:val="Hyperlink"/>
    <w:basedOn w:val="DefaultParagraphFont"/>
    <w:uiPriority w:val="99"/>
    <w:semiHidden/>
    <w:unhideWhenUsed/>
    <w:rsid w:val="00C80694"/>
    <w:rPr>
      <w:color w:val="0000FF"/>
      <w:u w:val="single"/>
    </w:rPr>
  </w:style>
  <w:style w:type="character" w:customStyle="1" w:styleId="g3">
    <w:name w:val="g3"/>
    <w:basedOn w:val="DefaultParagraphFont"/>
    <w:rsid w:val="00C80694"/>
  </w:style>
  <w:style w:type="character" w:customStyle="1" w:styleId="hb">
    <w:name w:val="hb"/>
    <w:basedOn w:val="DefaultParagraphFont"/>
    <w:rsid w:val="00C80694"/>
  </w:style>
  <w:style w:type="character" w:customStyle="1" w:styleId="g2">
    <w:name w:val="g2"/>
    <w:basedOn w:val="DefaultParagraphFont"/>
    <w:rsid w:val="00C80694"/>
  </w:style>
  <w:style w:type="character" w:styleId="Strong">
    <w:name w:val="Strong"/>
    <w:basedOn w:val="DefaultParagraphFont"/>
    <w:uiPriority w:val="22"/>
    <w:qFormat/>
    <w:rsid w:val="00C80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8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61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9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3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6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0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1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.krishnan@portlandoregon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e2ma.net/click/3nm1tg/vl79ln/ri6rfh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e2ma.net/click/3nm1tg/vl79ln/bq5rfhc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Adams</dc:creator>
  <cp:keywords/>
  <dc:description/>
  <cp:lastModifiedBy>Fanny Adams</cp:lastModifiedBy>
  <cp:revision>1</cp:revision>
  <dcterms:created xsi:type="dcterms:W3CDTF">2022-03-17T00:47:00Z</dcterms:created>
  <dcterms:modified xsi:type="dcterms:W3CDTF">2022-03-17T01:08:00Z</dcterms:modified>
</cp:coreProperties>
</file>