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Attendees: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Virtual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 (Absent)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 -  if needed (slides)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Lynn Shemmer-Valleau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Check-in! What is top of mind for you these days?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9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 Review,  Prioritization, and approval.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(25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Update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Workgroup timeline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Working across advisory bodies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Advisory Body Membership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and Irma Jimenez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 (15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Meeting - Volunteer celebration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1115 Waiver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Advocacy training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overview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January Meeting - Joint ASAC/DSAC Meeting - Date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NEMT - Non-Emergent Medical Transportation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8A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November 15, 2022, 11:00 am - 1:00 pm</w:t>
    </w:r>
  </w:p>
  <w:p w:rsidR="00000000" w:rsidDel="00000000" w:rsidP="00000000" w:rsidRDefault="00000000" w:rsidRPr="00000000" w14:paraId="0000008B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</w:t>
    </w:r>
  </w:p>
  <w:p w:rsidR="00000000" w:rsidDel="00000000" w:rsidP="00000000" w:rsidRDefault="00000000" w:rsidRPr="00000000" w14:paraId="0000008C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</w:t>
    </w:r>
    <w:r w:rsidDel="00000000" w:rsidR="00000000" w:rsidRPr="00000000">
      <w:rPr>
        <w:color w:val="3c4043"/>
        <w:sz w:val="28"/>
        <w:szCs w:val="28"/>
        <w:highlight w:val="white"/>
        <w:rtl w:val="0"/>
      </w:rPr>
      <w:t xml:space="preserve">969 3403 8072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F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2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4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5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