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539" w:val="left" w:leader="none"/>
        </w:tabs>
        <w:spacing w:line="276" w:lineRule="auto" w:before="80"/>
        <w:ind w:left="100" w:right="609"/>
      </w:pPr>
      <w:r>
        <w:rPr>
          <w:spacing w:val="-11"/>
        </w:rPr>
        <w:t>To:</w:t>
        <w:tab/>
      </w:r>
      <w:r>
        <w:rPr/>
        <w:t>Aging, Disability and </w:t>
      </w:r>
      <w:r>
        <w:rPr>
          <w:spacing w:val="-3"/>
        </w:rPr>
        <w:t>Veterans </w:t>
      </w:r>
      <w:r>
        <w:rPr/>
        <w:t>Services Division Leadership From:</w:t>
        <w:tab/>
        <w:t>Robyn Johnson, Planning and Development</w:t>
      </w:r>
      <w:r>
        <w:rPr>
          <w:spacing w:val="-19"/>
        </w:rPr>
        <w:t> </w:t>
      </w:r>
      <w:r>
        <w:rPr/>
        <w:t>Specialist</w:t>
      </w:r>
    </w:p>
    <w:p>
      <w:pPr>
        <w:pStyle w:val="BodyText"/>
        <w:tabs>
          <w:tab w:pos="1539" w:val="left" w:leader="none"/>
        </w:tabs>
        <w:spacing w:line="276" w:lineRule="auto"/>
        <w:ind w:left="100" w:right="1169"/>
      </w:pPr>
      <w:r>
        <w:rPr/>
        <w:t>Re:</w:t>
        <w:tab/>
        <w:t>21-22</w:t>
      </w:r>
      <w:r>
        <w:rPr>
          <w:spacing w:val="-60"/>
        </w:rPr>
        <w:t> </w:t>
      </w:r>
      <w:r>
        <w:rPr/>
        <w:t>Advisory Council priorities for budget preparation Date:</w:t>
        <w:tab/>
        <w:t>December 12, 2021 (revised January 5,</w:t>
      </w:r>
      <w:r>
        <w:rPr>
          <w:spacing w:val="-15"/>
        </w:rPr>
        <w:t> </w:t>
      </w:r>
      <w:r>
        <w:rPr/>
        <w:t>2022)</w:t>
      </w:r>
    </w:p>
    <w:p>
      <w:pPr>
        <w:pStyle w:val="BodyText"/>
        <w:spacing w:before="7"/>
        <w:rPr>
          <w:sz w:val="15"/>
        </w:rPr>
      </w:pPr>
      <w:r>
        <w:rPr/>
        <w:pict>
          <v:line style="position:absolute;mso-position-horizontal-relative:page;mso-position-vertical-relative:paragraph;z-index:-1024;mso-wrap-distance-left:0;mso-wrap-distance-right:0" from="75pt,11.446289pt" to="537pt,11.446289pt" stroked="true" strokeweight="1.0pt" strokecolor="#878787">
            <v:stroke dashstyle="solid"/>
            <w10:wrap type="topAndBottom"/>
          </v:line>
        </w:pict>
      </w:r>
    </w:p>
    <w:p>
      <w:pPr>
        <w:pStyle w:val="BodyText"/>
        <w:rPr>
          <w:sz w:val="20"/>
        </w:rPr>
      </w:pPr>
    </w:p>
    <w:p>
      <w:pPr>
        <w:pStyle w:val="BodyText"/>
        <w:spacing w:line="276" w:lineRule="auto" w:before="242"/>
        <w:ind w:left="100" w:right="86"/>
      </w:pPr>
      <w:r>
        <w:rPr/>
        <w:t>In support of the development and preparation of the Aging, Disability and Veterans Services Division (ADVSD) budget and program offers, the Aging Services Advisory Council (ASAC) and the Disability Services Advisory Council (DSAC) offer their adopted priorities and focus areas for consideration and alignment.</w:t>
      </w:r>
    </w:p>
    <w:p>
      <w:pPr>
        <w:pStyle w:val="BodyText"/>
        <w:spacing w:before="2"/>
        <w:rPr>
          <w:sz w:val="32"/>
        </w:rPr>
      </w:pPr>
    </w:p>
    <w:p>
      <w:pPr>
        <w:pStyle w:val="BodyText"/>
        <w:spacing w:line="276" w:lineRule="auto" w:before="1"/>
        <w:ind w:left="100" w:right="86"/>
      </w:pPr>
      <w:r>
        <w:rPr/>
        <w:t>The ASAC and DSAC, as representatives of the community and the ADVSD service population, have requested information on the current state of service equity across ASVSD programs via presentation and informational deep dives in their meetings. They have also asked for information about the distribution of services, dollars, and program utilization geographically.</w:t>
      </w:r>
    </w:p>
    <w:p>
      <w:pPr>
        <w:pStyle w:val="BodyText"/>
        <w:spacing w:before="2"/>
        <w:rPr>
          <w:sz w:val="32"/>
        </w:rPr>
      </w:pPr>
    </w:p>
    <w:p>
      <w:pPr>
        <w:pStyle w:val="BodyText"/>
        <w:ind w:left="100"/>
      </w:pPr>
      <w:r>
        <w:rPr/>
        <w:t>21022 Focus Areas</w:t>
      </w:r>
    </w:p>
    <w:p>
      <w:pPr>
        <w:pStyle w:val="BodyText"/>
        <w:spacing w:before="4"/>
        <w:rPr>
          <w:sz w:val="36"/>
        </w:rPr>
      </w:pPr>
    </w:p>
    <w:p>
      <w:pPr>
        <w:pStyle w:val="ListParagraph"/>
        <w:numPr>
          <w:ilvl w:val="0"/>
          <w:numId w:val="1"/>
        </w:numPr>
        <w:tabs>
          <w:tab w:pos="820" w:val="left" w:leader="none"/>
        </w:tabs>
        <w:spacing w:line="276" w:lineRule="auto" w:before="1" w:after="0"/>
        <w:ind w:left="820" w:right="287" w:hanging="360"/>
        <w:jc w:val="left"/>
        <w:rPr>
          <w:sz w:val="28"/>
        </w:rPr>
      </w:pPr>
      <w:r>
        <w:rPr>
          <w:sz w:val="28"/>
        </w:rPr>
        <w:t>Clear articulation via data and analysis of what communities are utilizing</w:t>
      </w:r>
      <w:r>
        <w:rPr>
          <w:spacing w:val="-7"/>
          <w:sz w:val="28"/>
        </w:rPr>
        <w:t> </w:t>
      </w:r>
      <w:r>
        <w:rPr>
          <w:sz w:val="28"/>
        </w:rPr>
        <w:t>programs</w:t>
      </w:r>
      <w:r>
        <w:rPr>
          <w:spacing w:val="-6"/>
          <w:sz w:val="28"/>
        </w:rPr>
        <w:t> </w:t>
      </w:r>
      <w:r>
        <w:rPr>
          <w:sz w:val="28"/>
        </w:rPr>
        <w:t>and</w:t>
      </w:r>
      <w:r>
        <w:rPr>
          <w:spacing w:val="-6"/>
          <w:sz w:val="28"/>
        </w:rPr>
        <w:t> </w:t>
      </w:r>
      <w:r>
        <w:rPr>
          <w:sz w:val="28"/>
        </w:rPr>
        <w:t>receiving</w:t>
      </w:r>
      <w:r>
        <w:rPr>
          <w:spacing w:val="-7"/>
          <w:sz w:val="28"/>
        </w:rPr>
        <w:t> </w:t>
      </w:r>
      <w:r>
        <w:rPr>
          <w:sz w:val="28"/>
        </w:rPr>
        <w:t>services</w:t>
      </w:r>
      <w:r>
        <w:rPr>
          <w:spacing w:val="-6"/>
          <w:sz w:val="28"/>
        </w:rPr>
        <w:t> </w:t>
      </w:r>
      <w:r>
        <w:rPr>
          <w:sz w:val="28"/>
        </w:rPr>
        <w:t>by</w:t>
      </w:r>
      <w:r>
        <w:rPr>
          <w:spacing w:val="-6"/>
          <w:sz w:val="28"/>
        </w:rPr>
        <w:t> </w:t>
      </w:r>
      <w:r>
        <w:rPr>
          <w:sz w:val="28"/>
        </w:rPr>
        <w:t>age,</w:t>
      </w:r>
      <w:r>
        <w:rPr>
          <w:spacing w:val="-7"/>
          <w:sz w:val="28"/>
        </w:rPr>
        <w:t> </w:t>
      </w:r>
      <w:r>
        <w:rPr>
          <w:sz w:val="28"/>
        </w:rPr>
        <w:t>ability</w:t>
      </w:r>
      <w:r>
        <w:rPr>
          <w:spacing w:val="-6"/>
          <w:sz w:val="28"/>
        </w:rPr>
        <w:t> </w:t>
      </w:r>
      <w:r>
        <w:rPr>
          <w:sz w:val="28"/>
        </w:rPr>
        <w:t>status,</w:t>
      </w:r>
      <w:r>
        <w:rPr>
          <w:spacing w:val="-6"/>
          <w:sz w:val="28"/>
        </w:rPr>
        <w:t> </w:t>
      </w:r>
      <w:r>
        <w:rPr>
          <w:sz w:val="28"/>
        </w:rPr>
        <w:t>race, origin, language, income, gender </w:t>
      </w:r>
      <w:r>
        <w:rPr>
          <w:spacing w:val="-4"/>
          <w:sz w:val="28"/>
        </w:rPr>
        <w:t>identity, </w:t>
      </w:r>
      <w:r>
        <w:rPr>
          <w:sz w:val="28"/>
        </w:rPr>
        <w:t>sexual orientation, and housing status.</w:t>
      </w:r>
      <w:r>
        <w:rPr>
          <w:spacing w:val="-3"/>
          <w:sz w:val="28"/>
        </w:rPr>
        <w:t> </w:t>
      </w:r>
      <w:r>
        <w:rPr>
          <w:sz w:val="28"/>
        </w:rPr>
        <w:t>(ASAC/DSAC)</w:t>
      </w:r>
    </w:p>
    <w:p>
      <w:pPr>
        <w:pStyle w:val="ListParagraph"/>
        <w:numPr>
          <w:ilvl w:val="0"/>
          <w:numId w:val="1"/>
        </w:numPr>
        <w:tabs>
          <w:tab w:pos="820" w:val="left" w:leader="none"/>
        </w:tabs>
        <w:spacing w:line="276" w:lineRule="auto" w:before="0" w:after="0"/>
        <w:ind w:left="820" w:right="531" w:hanging="360"/>
        <w:jc w:val="left"/>
        <w:rPr>
          <w:sz w:val="28"/>
        </w:rPr>
      </w:pPr>
      <w:r>
        <w:rPr>
          <w:sz w:val="28"/>
        </w:rPr>
        <w:t>Transportation</w:t>
      </w:r>
      <w:r>
        <w:rPr>
          <w:spacing w:val="-9"/>
          <w:sz w:val="28"/>
        </w:rPr>
        <w:t> </w:t>
      </w:r>
      <w:r>
        <w:rPr>
          <w:sz w:val="28"/>
        </w:rPr>
        <w:t>with</w:t>
      </w:r>
      <w:r>
        <w:rPr>
          <w:spacing w:val="-9"/>
          <w:sz w:val="28"/>
        </w:rPr>
        <w:t> </w:t>
      </w:r>
      <w:r>
        <w:rPr>
          <w:sz w:val="28"/>
        </w:rPr>
        <w:t>an</w:t>
      </w:r>
      <w:r>
        <w:rPr>
          <w:spacing w:val="-8"/>
          <w:sz w:val="28"/>
        </w:rPr>
        <w:t> </w:t>
      </w:r>
      <w:r>
        <w:rPr>
          <w:sz w:val="28"/>
        </w:rPr>
        <w:t>emphasis</w:t>
      </w:r>
      <w:r>
        <w:rPr>
          <w:spacing w:val="-9"/>
          <w:sz w:val="28"/>
        </w:rPr>
        <w:t> </w:t>
      </w:r>
      <w:r>
        <w:rPr>
          <w:sz w:val="28"/>
        </w:rPr>
        <w:t>on</w:t>
      </w:r>
      <w:r>
        <w:rPr>
          <w:spacing w:val="-8"/>
          <w:sz w:val="28"/>
        </w:rPr>
        <w:t> </w:t>
      </w:r>
      <w:r>
        <w:rPr>
          <w:sz w:val="28"/>
        </w:rPr>
        <w:t>transportation</w:t>
      </w:r>
      <w:r>
        <w:rPr>
          <w:spacing w:val="-9"/>
          <w:sz w:val="28"/>
        </w:rPr>
        <w:t> </w:t>
      </w:r>
      <w:r>
        <w:rPr>
          <w:sz w:val="28"/>
        </w:rPr>
        <w:t>access</w:t>
      </w:r>
      <w:r>
        <w:rPr>
          <w:spacing w:val="-8"/>
          <w:sz w:val="28"/>
        </w:rPr>
        <w:t> </w:t>
      </w:r>
      <w:r>
        <w:rPr>
          <w:sz w:val="28"/>
        </w:rPr>
        <w:t>(ASAC) Non-Emergent Medical Transportation (DSAC) including a gap analysis by community and</w:t>
      </w:r>
      <w:r>
        <w:rPr>
          <w:spacing w:val="-5"/>
          <w:sz w:val="28"/>
        </w:rPr>
        <w:t> </w:t>
      </w:r>
      <w:r>
        <w:rPr>
          <w:spacing w:val="-4"/>
          <w:sz w:val="28"/>
        </w:rPr>
        <w:t>identity.</w:t>
      </w:r>
    </w:p>
    <w:p>
      <w:pPr>
        <w:pStyle w:val="ListParagraph"/>
        <w:numPr>
          <w:ilvl w:val="0"/>
          <w:numId w:val="1"/>
        </w:numPr>
        <w:tabs>
          <w:tab w:pos="820" w:val="left" w:leader="none"/>
        </w:tabs>
        <w:spacing w:line="276" w:lineRule="auto" w:before="0" w:after="0"/>
        <w:ind w:left="820" w:right="457" w:hanging="360"/>
        <w:jc w:val="left"/>
        <w:rPr>
          <w:sz w:val="28"/>
        </w:rPr>
      </w:pPr>
      <w:r>
        <w:rPr>
          <w:sz w:val="28"/>
        </w:rPr>
        <w:t>Access to and utilization of ADVSD services by people who are currently unhoused, living in a </w:t>
      </w:r>
      <w:r>
        <w:rPr>
          <w:spacing w:val="-3"/>
          <w:sz w:val="28"/>
        </w:rPr>
        <w:t>shelter, </w:t>
      </w:r>
      <w:r>
        <w:rPr>
          <w:sz w:val="28"/>
        </w:rPr>
        <w:t>or transitioning into housing. (DSAC)</w:t>
      </w:r>
    </w:p>
    <w:p>
      <w:pPr>
        <w:pStyle w:val="ListParagraph"/>
        <w:numPr>
          <w:ilvl w:val="0"/>
          <w:numId w:val="1"/>
        </w:numPr>
        <w:tabs>
          <w:tab w:pos="820" w:val="left" w:leader="none"/>
        </w:tabs>
        <w:spacing w:line="276" w:lineRule="auto" w:before="0" w:after="0"/>
        <w:ind w:left="820" w:right="1079" w:hanging="360"/>
        <w:jc w:val="left"/>
        <w:rPr>
          <w:sz w:val="28"/>
        </w:rPr>
      </w:pPr>
      <w:r>
        <w:rPr>
          <w:sz w:val="28"/>
        </w:rPr>
        <w:t>Emergency response planning and management in relation</w:t>
      </w:r>
      <w:r>
        <w:rPr>
          <w:spacing w:val="-46"/>
          <w:sz w:val="28"/>
        </w:rPr>
        <w:t> </w:t>
      </w:r>
      <w:r>
        <w:rPr>
          <w:sz w:val="28"/>
        </w:rPr>
        <w:t>to ADVSD services and programs</w:t>
      </w:r>
      <w:r>
        <w:rPr>
          <w:spacing w:val="-7"/>
          <w:sz w:val="28"/>
        </w:rPr>
        <w:t> </w:t>
      </w:r>
      <w:r>
        <w:rPr>
          <w:sz w:val="28"/>
        </w:rPr>
        <w:t>(ASAC).</w:t>
      </w:r>
    </w:p>
    <w:p>
      <w:pPr>
        <w:pStyle w:val="ListParagraph"/>
        <w:numPr>
          <w:ilvl w:val="0"/>
          <w:numId w:val="1"/>
        </w:numPr>
        <w:tabs>
          <w:tab w:pos="820" w:val="left" w:leader="none"/>
        </w:tabs>
        <w:spacing w:line="276" w:lineRule="auto" w:before="0" w:after="0"/>
        <w:ind w:left="820" w:right="1375" w:hanging="360"/>
        <w:jc w:val="left"/>
        <w:rPr>
          <w:sz w:val="28"/>
        </w:rPr>
      </w:pPr>
      <w:r>
        <w:rPr>
          <w:sz w:val="28"/>
        </w:rPr>
        <w:t>Access to and utilization of computer technology and</w:t>
      </w:r>
      <w:r>
        <w:rPr>
          <w:spacing w:val="-48"/>
          <w:sz w:val="28"/>
        </w:rPr>
        <w:t> </w:t>
      </w:r>
      <w:r>
        <w:rPr>
          <w:sz w:val="28"/>
        </w:rPr>
        <w:t>digital </w:t>
      </w:r>
      <w:r>
        <w:rPr>
          <w:spacing w:val="-3"/>
          <w:sz w:val="28"/>
        </w:rPr>
        <w:t>proficiency.</w:t>
      </w:r>
    </w:p>
    <w:sectPr>
      <w:type w:val="continuous"/>
      <w:pgSz w:w="12240" w:h="15840"/>
      <w:pgMar w:top="100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ascii="Arial" w:hAnsi="Arial" w:eastAsia="Arial" w:cs="Arial"/>
        <w:spacing w:val="-30"/>
        <w:w w:val="100"/>
        <w:sz w:val="28"/>
        <w:szCs w:val="28"/>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8"/>
      <w:szCs w:val="28"/>
    </w:rPr>
  </w:style>
  <w:style w:styleId="ListParagraph" w:type="paragraph">
    <w:name w:val="List Paragraph"/>
    <w:basedOn w:val="Normal"/>
    <w:uiPriority w:val="1"/>
    <w:qFormat/>
    <w:pPr>
      <w:ind w:left="820" w:right="287"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 SAC Priorities Memo re: Budget</dc:title>
  <dcterms:created xsi:type="dcterms:W3CDTF">2022-01-14T15:34:14Z</dcterms:created>
  <dcterms:modified xsi:type="dcterms:W3CDTF">2022-01-14T15:34:14Z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2022-01-14T00:00:00Z</vt:filetime>
  </property>
</Properties>
</file>