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2" w:rsidRDefault="00F16C32" w:rsidP="00F16C32">
      <w:bookmarkStart w:id="0" w:name="_GoBack"/>
      <w:bookmarkEnd w:id="0"/>
      <w:r>
        <w:rPr>
          <w:rFonts w:ascii="Verdana" w:hAnsi="Verdana"/>
          <w:noProof/>
          <w:color w:val="44546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align>top</wp:align>
            </wp:positionV>
            <wp:extent cx="1874520" cy="693420"/>
            <wp:effectExtent l="0" t="0" r="0" b="0"/>
            <wp:wrapSquare wrapText="bothSides"/>
            <wp:docPr id="4" name="Picture 4" descr="cid:image001.jpg@01CFC68B.67021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68B.67021F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C32" w:rsidRDefault="00F16C32" w:rsidP="00F16C32">
      <w:pPr>
        <w:rPr>
          <w:rFonts w:ascii="Verdana" w:hAnsi="Verdana"/>
          <w:noProof/>
          <w:color w:val="44546A"/>
        </w:rPr>
      </w:pPr>
    </w:p>
    <w:tbl>
      <w:tblPr>
        <w:tblStyle w:val="TableGrid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8538"/>
      </w:tblGrid>
      <w:tr w:rsidR="00CC543B" w:rsidTr="00454986">
        <w:trPr>
          <w:trHeight w:val="206"/>
        </w:trPr>
        <w:tc>
          <w:tcPr>
            <w:tcW w:w="1728" w:type="dxa"/>
          </w:tcPr>
          <w:p w:rsidR="00CC543B" w:rsidRDefault="00CC543B" w:rsidP="00CC543B"/>
        </w:tc>
        <w:tc>
          <w:tcPr>
            <w:tcW w:w="8538" w:type="dxa"/>
          </w:tcPr>
          <w:p w:rsidR="00CC543B" w:rsidRPr="00CC543B" w:rsidRDefault="00CC543B" w:rsidP="00D673EE">
            <w:pPr>
              <w:rPr>
                <w:rFonts w:cstheme="minorHAnsi"/>
                <w:noProof/>
                <w:color w:val="262626" w:themeColor="text1" w:themeTint="D9"/>
              </w:rPr>
            </w:pPr>
          </w:p>
        </w:tc>
      </w:tr>
    </w:tbl>
    <w:p w:rsidR="0090703D" w:rsidRDefault="00286C72" w:rsidP="0090703D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9.75pt;margin-top:8.8pt;width:564.7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" strokecolor="#548dd4 [1951]" strokeweight="3pt">
            <v:shadow color="#243f60 [1604]" opacity=".5" offset="1pt"/>
          </v:shape>
        </w:pict>
      </w:r>
    </w:p>
    <w:p w:rsidR="00DC558B" w:rsidRPr="00060092" w:rsidRDefault="00DC558B" w:rsidP="0090703D">
      <w:pPr>
        <w:spacing w:after="0"/>
        <w:rPr>
          <w:rFonts w:ascii="Arial" w:hAnsi="Arial" w:cs="Arial"/>
        </w:rPr>
      </w:pPr>
    </w:p>
    <w:p w:rsidR="00DC558B" w:rsidRPr="00FA6437" w:rsidRDefault="00DC558B" w:rsidP="0090703D">
      <w:pPr>
        <w:spacing w:after="0"/>
        <w:rPr>
          <w:rFonts w:ascii="Arial" w:hAnsi="Arial" w:cs="Arial"/>
          <w:b/>
        </w:rPr>
      </w:pPr>
      <w:r w:rsidRPr="00FA6437">
        <w:rPr>
          <w:rFonts w:ascii="Arial" w:hAnsi="Arial" w:cs="Arial"/>
          <w:b/>
        </w:rPr>
        <w:t>MEMORANDUM</w:t>
      </w:r>
    </w:p>
    <w:p w:rsidR="00F16C32" w:rsidRPr="00FA6437" w:rsidRDefault="00F16C32" w:rsidP="009070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</w:t>
      </w:r>
      <w:r w:rsidR="006548D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2015</w:t>
      </w:r>
    </w:p>
    <w:p w:rsidR="00126D2F" w:rsidRDefault="00FA6437" w:rsidP="0090703D">
      <w:pPr>
        <w:spacing w:after="0"/>
        <w:rPr>
          <w:rFonts w:ascii="Arial" w:hAnsi="Arial" w:cs="Arial"/>
        </w:rPr>
      </w:pPr>
      <w:r w:rsidRPr="00FA6437">
        <w:rPr>
          <w:rFonts w:ascii="Arial" w:hAnsi="Arial" w:cs="Arial"/>
          <w:b/>
        </w:rPr>
        <w:t>To:</w:t>
      </w:r>
      <w:r w:rsidRPr="00FA6437">
        <w:rPr>
          <w:rFonts w:ascii="Arial" w:hAnsi="Arial" w:cs="Arial"/>
        </w:rPr>
        <w:t xml:space="preserve"> </w:t>
      </w:r>
      <w:r w:rsidR="00F16C32">
        <w:rPr>
          <w:rFonts w:ascii="Arial" w:hAnsi="Arial" w:cs="Arial"/>
        </w:rPr>
        <w:t>JD</w:t>
      </w:r>
      <w:r w:rsidR="00CF6E0F">
        <w:rPr>
          <w:rFonts w:ascii="Arial" w:hAnsi="Arial" w:cs="Arial"/>
        </w:rPr>
        <w:t xml:space="preserve"> Deschamps and Clifton </w:t>
      </w:r>
      <w:r w:rsidR="001E42F5">
        <w:rPr>
          <w:rFonts w:ascii="Arial" w:hAnsi="Arial" w:cs="Arial"/>
        </w:rPr>
        <w:t>S</w:t>
      </w:r>
      <w:r w:rsidR="00CF6E0F">
        <w:rPr>
          <w:rFonts w:ascii="Arial" w:hAnsi="Arial" w:cs="Arial"/>
        </w:rPr>
        <w:t>erres</w:t>
      </w:r>
    </w:p>
    <w:p w:rsidR="00FA6437" w:rsidRDefault="00FA6437" w:rsidP="0090703D">
      <w:pPr>
        <w:spacing w:after="0"/>
        <w:rPr>
          <w:rFonts w:ascii="Arial" w:hAnsi="Arial" w:cs="Arial"/>
        </w:rPr>
      </w:pPr>
      <w:r w:rsidRPr="00FA6437">
        <w:rPr>
          <w:rFonts w:ascii="Arial" w:hAnsi="Arial" w:cs="Arial"/>
          <w:b/>
        </w:rPr>
        <w:t>Subject:</w:t>
      </w:r>
      <w:r w:rsidR="00152340">
        <w:rPr>
          <w:rFonts w:ascii="Arial" w:hAnsi="Arial" w:cs="Arial"/>
        </w:rPr>
        <w:t xml:space="preserve"> </w:t>
      </w:r>
      <w:r w:rsidR="00F16C32">
        <w:rPr>
          <w:rFonts w:ascii="Arial" w:hAnsi="Arial" w:cs="Arial"/>
        </w:rPr>
        <w:t>Due Diligence Summary for Geotechnical and Environmental</w:t>
      </w:r>
      <w:r w:rsidR="00C70187">
        <w:rPr>
          <w:rFonts w:ascii="Arial" w:hAnsi="Arial" w:cs="Arial"/>
        </w:rPr>
        <w:t xml:space="preserve"> Phase </w:t>
      </w:r>
      <w:r w:rsidR="00CE1648">
        <w:rPr>
          <w:rFonts w:ascii="Arial" w:hAnsi="Arial" w:cs="Arial"/>
        </w:rPr>
        <w:t>I</w:t>
      </w:r>
      <w:r w:rsidR="00C70187">
        <w:rPr>
          <w:rFonts w:ascii="Arial" w:hAnsi="Arial" w:cs="Arial"/>
        </w:rPr>
        <w:t xml:space="preserve"> and Phase</w:t>
      </w:r>
      <w:r w:rsidR="00CE1648">
        <w:rPr>
          <w:rFonts w:ascii="Arial" w:hAnsi="Arial" w:cs="Arial"/>
        </w:rPr>
        <w:t xml:space="preserve"> II</w:t>
      </w:r>
      <w:r w:rsidR="00C70187">
        <w:rPr>
          <w:rFonts w:ascii="Arial" w:hAnsi="Arial" w:cs="Arial"/>
        </w:rPr>
        <w:t xml:space="preserve"> on Hawthorne Bridgehead and Block 128</w:t>
      </w:r>
    </w:p>
    <w:p w:rsidR="000C75B7" w:rsidRDefault="000C75B7" w:rsidP="000C75B7">
      <w:pPr>
        <w:spacing w:after="0"/>
        <w:rPr>
          <w:rFonts w:ascii="Arial" w:hAnsi="Arial" w:cs="Arial"/>
          <w:b/>
          <w:u w:val="single"/>
        </w:rPr>
      </w:pPr>
    </w:p>
    <w:p w:rsidR="00F16C32" w:rsidRDefault="000C75B7" w:rsidP="00F16C32">
      <w:pPr>
        <w:pStyle w:val="NormalWeb"/>
        <w:kinsoku w:val="0"/>
        <w:overflowPunct w:val="0"/>
        <w:spacing w:before="96" w:beforeAutospacing="0" w:after="0" w:afterAutospacing="0"/>
        <w:textAlignment w:val="baseline"/>
        <w:rPr>
          <w:rFonts w:ascii="Arial" w:hAnsi="Arial" w:cs="Arial"/>
          <w:b/>
          <w:u w:val="single"/>
        </w:rPr>
      </w:pPr>
      <w:r w:rsidRPr="00A9580B">
        <w:rPr>
          <w:rFonts w:ascii="Arial" w:hAnsi="Arial" w:cs="Arial"/>
          <w:b/>
          <w:u w:val="single"/>
        </w:rPr>
        <w:t xml:space="preserve">Summary: </w:t>
      </w:r>
    </w:p>
    <w:p w:rsidR="00F16C32" w:rsidRPr="00157816" w:rsidRDefault="00F16C32" w:rsidP="001179A3">
      <w:pPr>
        <w:pStyle w:val="NoSpacing"/>
        <w:rPr>
          <w:rFonts w:ascii="Arial" w:hAnsi="Arial" w:cs="Arial"/>
          <w:kern w:val="24"/>
        </w:rPr>
      </w:pPr>
      <w:r w:rsidRPr="00157816">
        <w:rPr>
          <w:rFonts w:ascii="Arial" w:hAnsi="Arial" w:cs="Arial"/>
          <w:kern w:val="24"/>
        </w:rPr>
        <w:t>Geotechnical Report by PBS Engineering</w:t>
      </w:r>
      <w:r w:rsidR="005623EE" w:rsidRPr="00157816">
        <w:rPr>
          <w:rFonts w:ascii="Arial" w:hAnsi="Arial" w:cs="Arial"/>
          <w:kern w:val="24"/>
        </w:rPr>
        <w:t xml:space="preserve"> and Environmental Ltd</w:t>
      </w:r>
      <w:r w:rsidRPr="00157816">
        <w:rPr>
          <w:rFonts w:ascii="Arial" w:hAnsi="Arial" w:cs="Arial"/>
          <w:kern w:val="24"/>
        </w:rPr>
        <w:t>:</w:t>
      </w:r>
    </w:p>
    <w:p w:rsidR="00135F62" w:rsidRPr="00157816" w:rsidRDefault="00135F62" w:rsidP="001179A3">
      <w:pPr>
        <w:pStyle w:val="NoSpacing"/>
        <w:rPr>
          <w:rFonts w:ascii="Arial" w:hAnsi="Arial" w:cs="Arial"/>
          <w:kern w:val="24"/>
        </w:rPr>
      </w:pPr>
      <w:r w:rsidRPr="00157816">
        <w:rPr>
          <w:rFonts w:ascii="Arial" w:hAnsi="Arial" w:cs="Arial"/>
          <w:kern w:val="24"/>
        </w:rPr>
        <w:t xml:space="preserve">No </w:t>
      </w:r>
      <w:r w:rsidR="00CF6E0F" w:rsidRPr="00157816">
        <w:rPr>
          <w:rFonts w:ascii="Arial" w:hAnsi="Arial" w:cs="Arial"/>
          <w:kern w:val="24"/>
        </w:rPr>
        <w:t xml:space="preserve">items of </w:t>
      </w:r>
      <w:r w:rsidRPr="00157816">
        <w:rPr>
          <w:rFonts w:ascii="Arial" w:hAnsi="Arial" w:cs="Arial"/>
          <w:kern w:val="24"/>
        </w:rPr>
        <w:t xml:space="preserve">concern were discovered on either site from the </w:t>
      </w:r>
      <w:r w:rsidR="00737F9A" w:rsidRPr="00157816">
        <w:rPr>
          <w:rFonts w:ascii="Arial" w:hAnsi="Arial" w:cs="Arial"/>
          <w:kern w:val="24"/>
        </w:rPr>
        <w:t xml:space="preserve">Phase I geotechnical investigation.  </w:t>
      </w:r>
      <w:r w:rsidR="00CF6E0F" w:rsidRPr="00157816">
        <w:rPr>
          <w:rFonts w:ascii="Arial" w:hAnsi="Arial" w:cs="Arial"/>
          <w:kern w:val="24"/>
        </w:rPr>
        <w:t xml:space="preserve">A </w:t>
      </w:r>
      <w:r w:rsidR="00737F9A" w:rsidRPr="00157816">
        <w:rPr>
          <w:rFonts w:ascii="Arial" w:hAnsi="Arial" w:cs="Arial"/>
          <w:kern w:val="24"/>
        </w:rPr>
        <w:t>Phase II investigation was performed</w:t>
      </w:r>
      <w:r w:rsidR="00CF6E0F" w:rsidRPr="00157816">
        <w:rPr>
          <w:rFonts w:ascii="Arial" w:hAnsi="Arial" w:cs="Arial"/>
          <w:kern w:val="24"/>
        </w:rPr>
        <w:t>,</w:t>
      </w:r>
      <w:r w:rsidR="00737F9A" w:rsidRPr="00157816">
        <w:rPr>
          <w:rFonts w:ascii="Arial" w:hAnsi="Arial" w:cs="Arial"/>
          <w:kern w:val="24"/>
        </w:rPr>
        <w:t xml:space="preserve"> includ</w:t>
      </w:r>
      <w:r w:rsidR="00CF6E0F" w:rsidRPr="00157816">
        <w:rPr>
          <w:rFonts w:ascii="Arial" w:hAnsi="Arial" w:cs="Arial"/>
          <w:kern w:val="24"/>
        </w:rPr>
        <w:t>ing</w:t>
      </w:r>
      <w:r w:rsidR="00737F9A" w:rsidRPr="00157816">
        <w:rPr>
          <w:rFonts w:ascii="Arial" w:hAnsi="Arial" w:cs="Arial"/>
          <w:kern w:val="24"/>
        </w:rPr>
        <w:t xml:space="preserve"> </w:t>
      </w:r>
      <w:r w:rsidR="00CF6E0F" w:rsidRPr="00157816">
        <w:rPr>
          <w:rFonts w:ascii="Arial" w:hAnsi="Arial" w:cs="Arial"/>
          <w:kern w:val="24"/>
        </w:rPr>
        <w:t xml:space="preserve">soil </w:t>
      </w:r>
      <w:r w:rsidR="00737F9A" w:rsidRPr="00157816">
        <w:rPr>
          <w:rFonts w:ascii="Arial" w:hAnsi="Arial" w:cs="Arial"/>
          <w:kern w:val="24"/>
        </w:rPr>
        <w:t>boring</w:t>
      </w:r>
      <w:r w:rsidR="00CF6E0F" w:rsidRPr="00157816">
        <w:rPr>
          <w:rFonts w:ascii="Arial" w:hAnsi="Arial" w:cs="Arial"/>
          <w:kern w:val="24"/>
        </w:rPr>
        <w:t>s</w:t>
      </w:r>
      <w:r w:rsidR="00737F9A" w:rsidRPr="00157816">
        <w:rPr>
          <w:rFonts w:ascii="Arial" w:hAnsi="Arial" w:cs="Arial"/>
          <w:kern w:val="24"/>
        </w:rPr>
        <w:t xml:space="preserve"> </w:t>
      </w:r>
      <w:r w:rsidR="002B07B2" w:rsidRPr="00157816">
        <w:rPr>
          <w:rFonts w:ascii="Arial" w:hAnsi="Arial" w:cs="Arial"/>
          <w:kern w:val="24"/>
        </w:rPr>
        <w:t xml:space="preserve">and testing </w:t>
      </w:r>
      <w:r w:rsidR="00CF6E0F" w:rsidRPr="00157816">
        <w:rPr>
          <w:rFonts w:ascii="Arial" w:hAnsi="Arial" w:cs="Arial"/>
          <w:kern w:val="24"/>
        </w:rPr>
        <w:t>at both sites.  This provides the geotechnical engineer with site specific data to prepare</w:t>
      </w:r>
      <w:r w:rsidR="002B07B2" w:rsidRPr="00157816">
        <w:rPr>
          <w:rFonts w:ascii="Arial" w:hAnsi="Arial" w:cs="Arial"/>
          <w:kern w:val="24"/>
        </w:rPr>
        <w:t xml:space="preserve"> preliminary</w:t>
      </w:r>
      <w:r w:rsidR="00CF6E0F" w:rsidRPr="00157816">
        <w:rPr>
          <w:rFonts w:ascii="Arial" w:hAnsi="Arial" w:cs="Arial"/>
          <w:kern w:val="24"/>
        </w:rPr>
        <w:t xml:space="preserve"> foundation recommendations. </w:t>
      </w:r>
      <w:r w:rsidR="00737F9A" w:rsidRPr="00157816">
        <w:rPr>
          <w:rFonts w:ascii="Arial" w:hAnsi="Arial" w:cs="Arial"/>
          <w:kern w:val="24"/>
        </w:rPr>
        <w:t xml:space="preserve">.  </w:t>
      </w:r>
    </w:p>
    <w:p w:rsidR="00737F9A" w:rsidRPr="00157816" w:rsidRDefault="00737F9A" w:rsidP="001179A3">
      <w:pPr>
        <w:pStyle w:val="NoSpacing"/>
        <w:rPr>
          <w:rFonts w:ascii="Arial" w:hAnsi="Arial" w:cs="Arial"/>
        </w:rPr>
      </w:pPr>
    </w:p>
    <w:p w:rsidR="00737F9A" w:rsidRPr="00157816" w:rsidRDefault="00737F9A" w:rsidP="001179A3">
      <w:pPr>
        <w:pStyle w:val="NoSpacing"/>
        <w:rPr>
          <w:rFonts w:ascii="Arial" w:hAnsi="Arial" w:cs="Arial"/>
        </w:rPr>
      </w:pPr>
      <w:r w:rsidRPr="00157816">
        <w:rPr>
          <w:rFonts w:ascii="Arial" w:hAnsi="Arial" w:cs="Arial"/>
        </w:rPr>
        <w:t>Block 128</w:t>
      </w:r>
    </w:p>
    <w:p w:rsidR="00CB7F14" w:rsidRPr="00157816" w:rsidRDefault="00CB7F14" w:rsidP="001179A3">
      <w:pPr>
        <w:pStyle w:val="NoSpacing"/>
        <w:numPr>
          <w:ilvl w:val="0"/>
          <w:numId w:val="7"/>
        </w:numPr>
        <w:rPr>
          <w:rFonts w:ascii="Arial" w:eastAsia="Times New Roman" w:hAnsi="Arial" w:cs="Arial"/>
        </w:rPr>
      </w:pPr>
      <w:r w:rsidRPr="00157816">
        <w:rPr>
          <w:rFonts w:ascii="Arial" w:hAnsi="Arial" w:cs="Arial"/>
          <w:kern w:val="24"/>
        </w:rPr>
        <w:t xml:space="preserve">A layer of potentially liquefiable soil was encountered on the </w:t>
      </w:r>
      <w:r w:rsidR="00601F31" w:rsidRPr="00157816">
        <w:rPr>
          <w:rFonts w:ascii="Arial" w:hAnsi="Arial" w:cs="Arial"/>
          <w:kern w:val="24"/>
        </w:rPr>
        <w:t xml:space="preserve">site. </w:t>
      </w:r>
    </w:p>
    <w:p w:rsidR="00CB7F14" w:rsidRPr="00157816" w:rsidRDefault="00CB7F14" w:rsidP="001179A3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Appropriate deep foundation system </w:t>
      </w:r>
      <w:r w:rsidR="00601F31" w:rsidRPr="00157816">
        <w:rPr>
          <w:rFonts w:ascii="Arial" w:hAnsi="Arial" w:cs="Arial"/>
          <w:color w:val="000000" w:themeColor="text1"/>
          <w:kern w:val="24"/>
        </w:rPr>
        <w:t xml:space="preserve">or mat foundation </w:t>
      </w:r>
      <w:r w:rsidRPr="00157816">
        <w:rPr>
          <w:rFonts w:ascii="Arial" w:hAnsi="Arial" w:cs="Arial"/>
          <w:color w:val="000000" w:themeColor="text1"/>
          <w:kern w:val="24"/>
        </w:rPr>
        <w:t xml:space="preserve">will be developed </w:t>
      </w:r>
      <w:r w:rsidR="00601F31" w:rsidRPr="00157816">
        <w:rPr>
          <w:rFonts w:ascii="Arial" w:hAnsi="Arial" w:cs="Arial"/>
          <w:color w:val="000000" w:themeColor="text1"/>
          <w:kern w:val="24"/>
        </w:rPr>
        <w:t>during final design</w:t>
      </w:r>
      <w:r w:rsidR="00F95C37" w:rsidRPr="00157816">
        <w:rPr>
          <w:rFonts w:ascii="Arial" w:hAnsi="Arial" w:cs="Arial"/>
          <w:color w:val="000000" w:themeColor="text1"/>
          <w:kern w:val="24"/>
        </w:rPr>
        <w:t xml:space="preserve"> to address the existence of liquefiable soils</w:t>
      </w:r>
      <w:r w:rsidR="00601F31" w:rsidRPr="00157816">
        <w:rPr>
          <w:rFonts w:ascii="Arial" w:hAnsi="Arial" w:cs="Arial"/>
          <w:color w:val="000000" w:themeColor="text1"/>
          <w:kern w:val="24"/>
        </w:rPr>
        <w:t xml:space="preserve">. </w:t>
      </w:r>
    </w:p>
    <w:p w:rsidR="00CB7F14" w:rsidRPr="00157816" w:rsidRDefault="00CB7F14" w:rsidP="001179A3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Conventional shoring techniques are feasible</w:t>
      </w:r>
      <w:r w:rsidR="00601F31" w:rsidRPr="00157816">
        <w:rPr>
          <w:rFonts w:ascii="Arial" w:hAnsi="Arial" w:cs="Arial"/>
          <w:color w:val="000000" w:themeColor="text1"/>
          <w:kern w:val="24"/>
        </w:rPr>
        <w:t xml:space="preserve"> but special care will need to minimize impact to the</w:t>
      </w:r>
      <w:r w:rsidR="002B07B2" w:rsidRPr="00157816">
        <w:rPr>
          <w:rFonts w:ascii="Arial" w:hAnsi="Arial" w:cs="Arial"/>
          <w:color w:val="000000" w:themeColor="text1"/>
          <w:kern w:val="24"/>
        </w:rPr>
        <w:t xml:space="preserve"> access for the</w:t>
      </w:r>
      <w:r w:rsidR="00601F31" w:rsidRPr="00157816">
        <w:rPr>
          <w:rFonts w:ascii="Arial" w:hAnsi="Arial" w:cs="Arial"/>
          <w:color w:val="000000" w:themeColor="text1"/>
          <w:kern w:val="24"/>
        </w:rPr>
        <w:t xml:space="preserve"> </w:t>
      </w:r>
      <w:r w:rsidR="00016AA2" w:rsidRPr="00157816">
        <w:rPr>
          <w:rFonts w:ascii="Arial" w:hAnsi="Arial" w:cs="Arial"/>
          <w:color w:val="000000" w:themeColor="text1"/>
          <w:kern w:val="24"/>
        </w:rPr>
        <w:t xml:space="preserve">KOIN tower </w:t>
      </w:r>
      <w:r w:rsidR="00601F31" w:rsidRPr="00157816">
        <w:rPr>
          <w:rFonts w:ascii="Arial" w:hAnsi="Arial" w:cs="Arial"/>
          <w:color w:val="000000" w:themeColor="text1"/>
          <w:kern w:val="24"/>
        </w:rPr>
        <w:t>parking garage</w:t>
      </w:r>
      <w:r w:rsidR="002B07B2" w:rsidRPr="00157816">
        <w:rPr>
          <w:rFonts w:ascii="Arial" w:hAnsi="Arial" w:cs="Arial"/>
          <w:color w:val="000000" w:themeColor="text1"/>
          <w:kern w:val="24"/>
        </w:rPr>
        <w:t>.</w:t>
      </w:r>
    </w:p>
    <w:p w:rsidR="00F95C37" w:rsidRPr="00157816" w:rsidRDefault="00016AA2" w:rsidP="001179A3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Local </w:t>
      </w:r>
      <w:r w:rsidR="00CB7F14" w:rsidRPr="00157816">
        <w:rPr>
          <w:rFonts w:ascii="Arial" w:hAnsi="Arial" w:cs="Arial"/>
          <w:color w:val="000000" w:themeColor="text1"/>
          <w:kern w:val="24"/>
        </w:rPr>
        <w:t xml:space="preserve">Contractors have experience with </w:t>
      </w:r>
      <w:r w:rsidRPr="00157816">
        <w:rPr>
          <w:rFonts w:ascii="Arial" w:hAnsi="Arial" w:cs="Arial"/>
          <w:color w:val="000000" w:themeColor="text1"/>
          <w:kern w:val="24"/>
        </w:rPr>
        <w:t xml:space="preserve">the </w:t>
      </w:r>
      <w:r w:rsidR="00CB7F14" w:rsidRPr="00157816">
        <w:rPr>
          <w:rFonts w:ascii="Arial" w:hAnsi="Arial" w:cs="Arial"/>
          <w:color w:val="000000" w:themeColor="text1"/>
          <w:kern w:val="24"/>
        </w:rPr>
        <w:t xml:space="preserve">construction </w:t>
      </w:r>
      <w:r w:rsidRPr="00157816">
        <w:rPr>
          <w:rFonts w:ascii="Arial" w:hAnsi="Arial" w:cs="Arial"/>
          <w:color w:val="000000" w:themeColor="text1"/>
          <w:kern w:val="24"/>
        </w:rPr>
        <w:t xml:space="preserve">means and </w:t>
      </w:r>
      <w:r w:rsidR="00CB7F14" w:rsidRPr="00157816">
        <w:rPr>
          <w:rFonts w:ascii="Arial" w:hAnsi="Arial" w:cs="Arial"/>
          <w:color w:val="000000" w:themeColor="text1"/>
          <w:kern w:val="24"/>
        </w:rPr>
        <w:t xml:space="preserve">methods </w:t>
      </w:r>
      <w:r w:rsidRPr="00157816">
        <w:rPr>
          <w:rFonts w:ascii="Arial" w:hAnsi="Arial" w:cs="Arial"/>
          <w:color w:val="000000" w:themeColor="text1"/>
          <w:kern w:val="24"/>
        </w:rPr>
        <w:t>that will be required</w:t>
      </w:r>
      <w:r w:rsidR="00F95C37" w:rsidRPr="00157816">
        <w:rPr>
          <w:rFonts w:ascii="Arial" w:hAnsi="Arial" w:cs="Arial"/>
          <w:color w:val="000000" w:themeColor="text1"/>
          <w:kern w:val="24"/>
        </w:rPr>
        <w:t xml:space="preserve"> to safely and cost effectively construct a courthouse on this site.</w:t>
      </w:r>
    </w:p>
    <w:p w:rsidR="00737F9A" w:rsidRPr="00157816" w:rsidRDefault="00F95C37" w:rsidP="001179A3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Arial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 </w:t>
      </w:r>
    </w:p>
    <w:p w:rsidR="00737F9A" w:rsidRPr="00157816" w:rsidRDefault="00737F9A" w:rsidP="001179A3">
      <w:pPr>
        <w:pStyle w:val="NoSpacing"/>
        <w:rPr>
          <w:rFonts w:ascii="Arial" w:hAnsi="Arial" w:cs="Arial"/>
        </w:rPr>
      </w:pPr>
      <w:r w:rsidRPr="00157816">
        <w:rPr>
          <w:rFonts w:ascii="Arial" w:hAnsi="Arial" w:cs="Arial"/>
        </w:rPr>
        <w:t>Hawthorne Bridgehead</w:t>
      </w:r>
    </w:p>
    <w:p w:rsidR="00F16C32" w:rsidRPr="00157816" w:rsidRDefault="00F16C32" w:rsidP="001179A3">
      <w:pPr>
        <w:pStyle w:val="NoSpacing"/>
        <w:numPr>
          <w:ilvl w:val="0"/>
          <w:numId w:val="8"/>
        </w:numPr>
        <w:rPr>
          <w:rFonts w:ascii="Arial" w:eastAsia="Times New Roman" w:hAnsi="Arial" w:cs="Arial"/>
        </w:rPr>
      </w:pPr>
      <w:r w:rsidRPr="00157816">
        <w:rPr>
          <w:rFonts w:ascii="Arial" w:hAnsi="Arial" w:cs="Arial"/>
          <w:kern w:val="24"/>
        </w:rPr>
        <w:t xml:space="preserve">A layer of </w:t>
      </w:r>
      <w:r w:rsidR="00C70187" w:rsidRPr="00157816">
        <w:rPr>
          <w:rFonts w:ascii="Arial" w:hAnsi="Arial" w:cs="Arial"/>
          <w:kern w:val="24"/>
        </w:rPr>
        <w:t>p</w:t>
      </w:r>
      <w:r w:rsidRPr="00157816">
        <w:rPr>
          <w:rFonts w:ascii="Arial" w:hAnsi="Arial" w:cs="Arial"/>
          <w:kern w:val="24"/>
        </w:rPr>
        <w:t xml:space="preserve">otentially liquefiable </w:t>
      </w:r>
      <w:r w:rsidR="00135F62" w:rsidRPr="00157816">
        <w:rPr>
          <w:rFonts w:ascii="Arial" w:hAnsi="Arial" w:cs="Arial"/>
          <w:kern w:val="24"/>
        </w:rPr>
        <w:t>s</w:t>
      </w:r>
      <w:r w:rsidRPr="00157816">
        <w:rPr>
          <w:rFonts w:ascii="Arial" w:hAnsi="Arial" w:cs="Arial"/>
          <w:kern w:val="24"/>
        </w:rPr>
        <w:t xml:space="preserve">oil was encountered </w:t>
      </w:r>
      <w:r w:rsidR="00C70187" w:rsidRPr="00157816">
        <w:rPr>
          <w:rFonts w:ascii="Arial" w:hAnsi="Arial" w:cs="Arial"/>
          <w:kern w:val="24"/>
        </w:rPr>
        <w:t xml:space="preserve">on the site </w:t>
      </w:r>
      <w:r w:rsidRPr="00157816">
        <w:rPr>
          <w:rFonts w:ascii="Arial" w:hAnsi="Arial" w:cs="Arial"/>
          <w:kern w:val="24"/>
        </w:rPr>
        <w:t xml:space="preserve">and can be mitigated </w:t>
      </w:r>
      <w:r w:rsidR="00F95C37" w:rsidRPr="00157816">
        <w:rPr>
          <w:rFonts w:ascii="Arial" w:hAnsi="Arial" w:cs="Arial"/>
          <w:kern w:val="24"/>
        </w:rPr>
        <w:t>using a deep</w:t>
      </w:r>
      <w:r w:rsidRPr="00157816">
        <w:rPr>
          <w:rFonts w:ascii="Arial" w:hAnsi="Arial" w:cs="Arial"/>
          <w:kern w:val="24"/>
        </w:rPr>
        <w:t xml:space="preserve"> foundation</w:t>
      </w:r>
      <w:r w:rsidR="00F95C37" w:rsidRPr="00157816">
        <w:rPr>
          <w:rFonts w:ascii="Arial" w:hAnsi="Arial" w:cs="Arial"/>
          <w:kern w:val="24"/>
        </w:rPr>
        <w:t xml:space="preserve"> system.</w:t>
      </w:r>
    </w:p>
    <w:p w:rsidR="00F16C32" w:rsidRPr="00157816" w:rsidRDefault="00C70187" w:rsidP="001179A3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Appropriate</w:t>
      </w:r>
      <w:r w:rsidR="00F16C32" w:rsidRPr="00157816">
        <w:rPr>
          <w:rFonts w:ascii="Arial" w:hAnsi="Arial" w:cs="Arial"/>
          <w:color w:val="000000" w:themeColor="text1"/>
          <w:kern w:val="24"/>
        </w:rPr>
        <w:t xml:space="preserve"> deep foundation system </w:t>
      </w:r>
      <w:r w:rsidRPr="00157816">
        <w:rPr>
          <w:rFonts w:ascii="Arial" w:hAnsi="Arial" w:cs="Arial"/>
          <w:color w:val="000000" w:themeColor="text1"/>
          <w:kern w:val="24"/>
        </w:rPr>
        <w:t>will</w:t>
      </w:r>
      <w:r w:rsidR="00F16C32" w:rsidRPr="00157816">
        <w:rPr>
          <w:rFonts w:ascii="Arial" w:hAnsi="Arial" w:cs="Arial"/>
          <w:color w:val="000000" w:themeColor="text1"/>
          <w:kern w:val="24"/>
        </w:rPr>
        <w:t xml:space="preserve"> be </w:t>
      </w:r>
      <w:r w:rsidRPr="00157816">
        <w:rPr>
          <w:rFonts w:ascii="Arial" w:hAnsi="Arial" w:cs="Arial"/>
          <w:color w:val="000000" w:themeColor="text1"/>
          <w:kern w:val="24"/>
        </w:rPr>
        <w:t>developed</w:t>
      </w:r>
      <w:r w:rsidR="00F16C32" w:rsidRPr="00157816">
        <w:rPr>
          <w:rFonts w:ascii="Arial" w:hAnsi="Arial" w:cs="Arial"/>
          <w:color w:val="000000" w:themeColor="text1"/>
          <w:kern w:val="24"/>
        </w:rPr>
        <w:t xml:space="preserve"> </w:t>
      </w:r>
      <w:r w:rsidR="00D70351" w:rsidRPr="00157816">
        <w:rPr>
          <w:rFonts w:ascii="Arial" w:hAnsi="Arial" w:cs="Arial"/>
          <w:color w:val="000000" w:themeColor="text1"/>
          <w:kern w:val="24"/>
        </w:rPr>
        <w:t xml:space="preserve">during final design to address the existence of liquefiable soils and also accounting for the proximity of </w:t>
      </w:r>
      <w:r w:rsidR="00F95C37" w:rsidRPr="00157816">
        <w:rPr>
          <w:rFonts w:ascii="Arial" w:hAnsi="Arial" w:cs="Arial"/>
          <w:color w:val="000000" w:themeColor="text1"/>
          <w:kern w:val="24"/>
        </w:rPr>
        <w:t xml:space="preserve">buildings.  </w:t>
      </w:r>
    </w:p>
    <w:p w:rsidR="00F16C32" w:rsidRPr="00157816" w:rsidRDefault="00F16C32" w:rsidP="001179A3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Conventional shoring techniques </w:t>
      </w:r>
      <w:r w:rsidR="00CB7F14" w:rsidRPr="00157816">
        <w:rPr>
          <w:rFonts w:ascii="Arial" w:hAnsi="Arial" w:cs="Arial"/>
          <w:color w:val="000000" w:themeColor="text1"/>
          <w:kern w:val="24"/>
        </w:rPr>
        <w:t>are</w:t>
      </w:r>
      <w:r w:rsidRPr="00157816">
        <w:rPr>
          <w:rFonts w:ascii="Arial" w:hAnsi="Arial" w:cs="Arial"/>
          <w:color w:val="000000" w:themeColor="text1"/>
          <w:kern w:val="24"/>
        </w:rPr>
        <w:t xml:space="preserve"> feasible.</w:t>
      </w:r>
    </w:p>
    <w:p w:rsidR="00F16C32" w:rsidRPr="00157816" w:rsidRDefault="00F16C32" w:rsidP="001179A3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Temporary and permanent support of the Hawthorne Bridge </w:t>
      </w:r>
      <w:r w:rsidR="002B07B2" w:rsidRPr="00157816">
        <w:rPr>
          <w:rFonts w:ascii="Arial" w:hAnsi="Arial" w:cs="Arial"/>
          <w:color w:val="000000" w:themeColor="text1"/>
          <w:kern w:val="24"/>
        </w:rPr>
        <w:t xml:space="preserve">west </w:t>
      </w:r>
      <w:r w:rsidR="00C70187" w:rsidRPr="00157816">
        <w:rPr>
          <w:rFonts w:ascii="Arial" w:hAnsi="Arial" w:cs="Arial"/>
          <w:color w:val="000000" w:themeColor="text1"/>
          <w:kern w:val="24"/>
        </w:rPr>
        <w:t>abutment</w:t>
      </w:r>
      <w:r w:rsidRPr="00157816">
        <w:rPr>
          <w:rFonts w:ascii="Arial" w:hAnsi="Arial" w:cs="Arial"/>
          <w:color w:val="000000" w:themeColor="text1"/>
          <w:kern w:val="24"/>
        </w:rPr>
        <w:t xml:space="preserve"> </w:t>
      </w:r>
      <w:r w:rsidR="00F436A7" w:rsidRPr="00157816">
        <w:rPr>
          <w:rFonts w:ascii="Arial" w:hAnsi="Arial" w:cs="Arial"/>
          <w:color w:val="000000" w:themeColor="text1"/>
          <w:kern w:val="24"/>
        </w:rPr>
        <w:t>will be</w:t>
      </w:r>
      <w:r w:rsidRPr="00157816">
        <w:rPr>
          <w:rFonts w:ascii="Arial" w:hAnsi="Arial" w:cs="Arial"/>
          <w:color w:val="000000" w:themeColor="text1"/>
          <w:kern w:val="24"/>
        </w:rPr>
        <w:t xml:space="preserve"> address</w:t>
      </w:r>
      <w:r w:rsidR="00CB7F14" w:rsidRPr="00157816">
        <w:rPr>
          <w:rFonts w:ascii="Arial" w:hAnsi="Arial" w:cs="Arial"/>
          <w:color w:val="000000" w:themeColor="text1"/>
          <w:kern w:val="24"/>
        </w:rPr>
        <w:t>ed</w:t>
      </w:r>
      <w:r w:rsidRPr="00157816">
        <w:rPr>
          <w:rFonts w:ascii="Arial" w:hAnsi="Arial" w:cs="Arial"/>
          <w:color w:val="000000" w:themeColor="text1"/>
          <w:kern w:val="24"/>
        </w:rPr>
        <w:t xml:space="preserve"> during construction.</w:t>
      </w:r>
    </w:p>
    <w:p w:rsidR="002B07B2" w:rsidRPr="00157816" w:rsidRDefault="00F16C32" w:rsidP="001179A3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kern w:val="24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Soft soils encountered will require mitigation </w:t>
      </w:r>
      <w:r w:rsidR="002B07B2" w:rsidRPr="00157816">
        <w:rPr>
          <w:rFonts w:ascii="Arial" w:hAnsi="Arial" w:cs="Arial"/>
          <w:color w:val="000000" w:themeColor="text1"/>
          <w:kern w:val="24"/>
        </w:rPr>
        <w:t xml:space="preserve">either </w:t>
      </w:r>
      <w:r w:rsidRPr="00157816">
        <w:rPr>
          <w:rFonts w:ascii="Arial" w:hAnsi="Arial" w:cs="Arial"/>
          <w:color w:val="000000" w:themeColor="text1"/>
          <w:kern w:val="24"/>
        </w:rPr>
        <w:t>by over</w:t>
      </w:r>
      <w:r w:rsidR="008727FD" w:rsidRPr="00157816">
        <w:rPr>
          <w:rFonts w:ascii="Arial" w:hAnsi="Arial" w:cs="Arial"/>
          <w:color w:val="000000" w:themeColor="text1"/>
          <w:kern w:val="24"/>
        </w:rPr>
        <w:t>-</w:t>
      </w:r>
      <w:r w:rsidRPr="00157816">
        <w:rPr>
          <w:rFonts w:ascii="Arial" w:hAnsi="Arial" w:cs="Arial"/>
          <w:color w:val="000000" w:themeColor="text1"/>
          <w:kern w:val="24"/>
        </w:rPr>
        <w:t>excavation and backfill or reinforcement with soil improvements</w:t>
      </w:r>
      <w:r w:rsidR="009019F8" w:rsidRPr="00157816">
        <w:rPr>
          <w:rFonts w:ascii="Arial" w:hAnsi="Arial" w:cs="Arial"/>
          <w:color w:val="000000" w:themeColor="text1"/>
          <w:kern w:val="24"/>
        </w:rPr>
        <w:t>.</w:t>
      </w:r>
      <w:r w:rsidR="001179A3" w:rsidRPr="00157816">
        <w:rPr>
          <w:rFonts w:ascii="Arial" w:hAnsi="Arial" w:cs="Arial"/>
          <w:color w:val="000000" w:themeColor="text1"/>
          <w:kern w:val="24"/>
        </w:rPr>
        <w:t xml:space="preserve"> </w:t>
      </w:r>
    </w:p>
    <w:p w:rsidR="00F95C37" w:rsidRPr="00157816" w:rsidRDefault="00F95C37" w:rsidP="001179A3">
      <w:pPr>
        <w:numPr>
          <w:ilvl w:val="0"/>
          <w:numId w:val="8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kern w:val="24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Local </w:t>
      </w:r>
      <w:r w:rsidR="009019F8" w:rsidRPr="00157816">
        <w:rPr>
          <w:rFonts w:ascii="Arial" w:hAnsi="Arial" w:cs="Arial"/>
          <w:color w:val="000000" w:themeColor="text1"/>
          <w:kern w:val="24"/>
        </w:rPr>
        <w:t>c</w:t>
      </w:r>
      <w:r w:rsidRPr="00157816">
        <w:rPr>
          <w:rFonts w:ascii="Arial" w:hAnsi="Arial" w:cs="Arial"/>
          <w:color w:val="000000" w:themeColor="text1"/>
          <w:kern w:val="24"/>
        </w:rPr>
        <w:t>ontractors have experience with the construction means and methods that will be required to safely and cost effectively construct a courthouse on this site.</w:t>
      </w:r>
    </w:p>
    <w:p w:rsidR="000C75B7" w:rsidRPr="00157816" w:rsidRDefault="000C75B7" w:rsidP="000C75B7">
      <w:pPr>
        <w:spacing w:after="0"/>
        <w:rPr>
          <w:rFonts w:ascii="Arial" w:hAnsi="Arial" w:cs="Arial"/>
          <w:b/>
          <w:color w:val="000000" w:themeColor="text1"/>
          <w:kern w:val="24"/>
          <w:u w:val="single"/>
        </w:rPr>
      </w:pPr>
    </w:p>
    <w:p w:rsidR="005E4F36" w:rsidRPr="00157816" w:rsidRDefault="005E4F36" w:rsidP="00F16C32">
      <w:pPr>
        <w:kinsoku w:val="0"/>
        <w:overflowPunct w:val="0"/>
        <w:spacing w:before="96" w:after="0" w:line="240" w:lineRule="auto"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F16C32" w:rsidRPr="00157816" w:rsidRDefault="00F16C32" w:rsidP="00F16C32">
      <w:pPr>
        <w:kinsoku w:val="0"/>
        <w:overflowPunct w:val="0"/>
        <w:spacing w:before="96" w:after="0" w:line="240" w:lineRule="auto"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Environmental</w:t>
      </w:r>
      <w:r w:rsidR="00C70187" w:rsidRPr="00157816">
        <w:rPr>
          <w:rFonts w:ascii="Arial" w:hAnsi="Arial" w:cs="Arial"/>
          <w:color w:val="000000" w:themeColor="text1"/>
          <w:kern w:val="24"/>
        </w:rPr>
        <w:t xml:space="preserve"> Phase </w:t>
      </w:r>
      <w:r w:rsidR="00CE1648" w:rsidRPr="00157816">
        <w:rPr>
          <w:rFonts w:ascii="Arial" w:hAnsi="Arial" w:cs="Arial"/>
          <w:color w:val="000000" w:themeColor="text1"/>
          <w:kern w:val="24"/>
        </w:rPr>
        <w:t>I</w:t>
      </w:r>
      <w:r w:rsidR="00C70187" w:rsidRPr="00157816">
        <w:rPr>
          <w:rFonts w:ascii="Arial" w:hAnsi="Arial" w:cs="Arial"/>
          <w:color w:val="000000" w:themeColor="text1"/>
          <w:kern w:val="24"/>
        </w:rPr>
        <w:t xml:space="preserve"> results an</w:t>
      </w:r>
      <w:r w:rsidR="00C70187" w:rsidRPr="00157816">
        <w:rPr>
          <w:rFonts w:ascii="Arial" w:eastAsia="Times New Roman" w:hAnsi="Arial" w:cs="Arial"/>
          <w:color w:val="000000" w:themeColor="text1"/>
          <w:kern w:val="24"/>
        </w:rPr>
        <w:t>d</w:t>
      </w:r>
      <w:r w:rsidR="00C70187" w:rsidRPr="00157816">
        <w:rPr>
          <w:rFonts w:ascii="Arial" w:hAnsi="Arial" w:cs="Arial"/>
          <w:color w:val="000000" w:themeColor="text1"/>
          <w:kern w:val="24"/>
        </w:rPr>
        <w:t xml:space="preserve"> Phase </w:t>
      </w:r>
      <w:r w:rsidR="00CE1648" w:rsidRPr="00157816">
        <w:rPr>
          <w:rFonts w:ascii="Arial" w:hAnsi="Arial" w:cs="Arial"/>
          <w:color w:val="000000" w:themeColor="text1"/>
          <w:kern w:val="24"/>
        </w:rPr>
        <w:t>II</w:t>
      </w:r>
      <w:r w:rsidR="00C70187" w:rsidRPr="00157816">
        <w:rPr>
          <w:rFonts w:ascii="Arial" w:hAnsi="Arial" w:cs="Arial"/>
          <w:color w:val="000000" w:themeColor="text1"/>
          <w:kern w:val="24"/>
        </w:rPr>
        <w:t xml:space="preserve"> investigation</w:t>
      </w:r>
      <w:r w:rsidRPr="00157816">
        <w:rPr>
          <w:rFonts w:ascii="Arial" w:hAnsi="Arial" w:cs="Arial"/>
          <w:color w:val="000000" w:themeColor="text1"/>
          <w:kern w:val="24"/>
        </w:rPr>
        <w:t xml:space="preserve"> Report</w:t>
      </w:r>
      <w:r w:rsidR="00C70187" w:rsidRPr="00157816">
        <w:rPr>
          <w:rFonts w:ascii="Arial" w:hAnsi="Arial" w:cs="Arial"/>
          <w:color w:val="000000" w:themeColor="text1"/>
          <w:kern w:val="24"/>
        </w:rPr>
        <w:t>s</w:t>
      </w:r>
      <w:r w:rsidRPr="00157816">
        <w:rPr>
          <w:rFonts w:ascii="Arial" w:hAnsi="Arial" w:cs="Arial"/>
          <w:color w:val="000000" w:themeColor="text1"/>
          <w:kern w:val="24"/>
        </w:rPr>
        <w:t xml:space="preserve"> by PBS Engineering</w:t>
      </w:r>
      <w:r w:rsidR="00CE1648" w:rsidRPr="00157816">
        <w:rPr>
          <w:rFonts w:ascii="Arial" w:hAnsi="Arial" w:cs="Arial"/>
          <w:color w:val="000000" w:themeColor="text1"/>
          <w:kern w:val="24"/>
        </w:rPr>
        <w:t xml:space="preserve"> </w:t>
      </w:r>
      <w:r w:rsidR="005623EE" w:rsidRPr="00157816">
        <w:rPr>
          <w:rFonts w:ascii="Arial" w:hAnsi="Arial" w:cs="Arial"/>
          <w:color w:val="000000" w:themeColor="text1"/>
          <w:kern w:val="24"/>
        </w:rPr>
        <w:t>and</w:t>
      </w:r>
      <w:r w:rsidR="00CE1648" w:rsidRPr="00157816">
        <w:rPr>
          <w:rFonts w:ascii="Arial" w:hAnsi="Arial" w:cs="Arial"/>
          <w:color w:val="000000" w:themeColor="text1"/>
          <w:kern w:val="24"/>
        </w:rPr>
        <w:t xml:space="preserve"> Environmental </w:t>
      </w:r>
      <w:r w:rsidR="005623EE" w:rsidRPr="00157816">
        <w:rPr>
          <w:rFonts w:ascii="Arial" w:hAnsi="Arial" w:cs="Arial"/>
          <w:color w:val="000000" w:themeColor="text1"/>
          <w:kern w:val="24"/>
        </w:rPr>
        <w:t>Ltd</w:t>
      </w:r>
      <w:r w:rsidRPr="00157816">
        <w:rPr>
          <w:rFonts w:ascii="Arial" w:hAnsi="Arial" w:cs="Arial"/>
          <w:color w:val="000000" w:themeColor="text1"/>
          <w:kern w:val="24"/>
        </w:rPr>
        <w:t>:</w:t>
      </w:r>
    </w:p>
    <w:p w:rsidR="00C70187" w:rsidRPr="00157816" w:rsidRDefault="00C70187" w:rsidP="00F16C3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eastAsia="Times New Roman" w:hAnsi="Arial" w:cs="Arial"/>
        </w:rPr>
        <w:t>No environmental concerns with either site</w:t>
      </w:r>
      <w:r w:rsidR="002B07B2" w:rsidRPr="00157816">
        <w:rPr>
          <w:rFonts w:ascii="Arial" w:eastAsia="Times New Roman" w:hAnsi="Arial" w:cs="Arial"/>
        </w:rPr>
        <w:t xml:space="preserve"> were identified</w:t>
      </w:r>
      <w:r w:rsidRPr="00157816">
        <w:rPr>
          <w:rFonts w:ascii="Arial" w:eastAsia="Times New Roman" w:hAnsi="Arial" w:cs="Arial"/>
        </w:rPr>
        <w:t>.</w:t>
      </w:r>
    </w:p>
    <w:p w:rsidR="00CE1648" w:rsidRPr="00157816" w:rsidRDefault="00CE1648" w:rsidP="00F16C3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lastRenderedPageBreak/>
        <w:t>A Phase I was performed on both sites and a Phase II investigation was performed on the Hawthorne Bridgehead site.</w:t>
      </w:r>
    </w:p>
    <w:p w:rsidR="00CE1648" w:rsidRPr="00157816" w:rsidRDefault="00CE1648" w:rsidP="00F16C32">
      <w:pPr>
        <w:numPr>
          <w:ilvl w:val="0"/>
          <w:numId w:val="5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Phase II Results on Hawthorne Bridgehead</w:t>
      </w:r>
    </w:p>
    <w:p w:rsidR="00F16C32" w:rsidRPr="00157816" w:rsidRDefault="00F16C32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No soil contamination was noted in soil borings</w:t>
      </w:r>
      <w:r w:rsidR="00C70187" w:rsidRPr="00157816">
        <w:rPr>
          <w:rFonts w:ascii="Arial" w:hAnsi="Arial" w:cs="Arial"/>
          <w:color w:val="000000" w:themeColor="text1"/>
          <w:kern w:val="24"/>
        </w:rPr>
        <w:t>.</w:t>
      </w:r>
    </w:p>
    <w:p w:rsidR="00F16C32" w:rsidRPr="00157816" w:rsidRDefault="00F16C32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Soil Samples collected at the site appear to meet the criteria for clean fill</w:t>
      </w:r>
      <w:r w:rsidR="00C70187" w:rsidRPr="00157816">
        <w:rPr>
          <w:rFonts w:ascii="Arial" w:hAnsi="Arial" w:cs="Arial"/>
          <w:color w:val="000000" w:themeColor="text1"/>
          <w:kern w:val="24"/>
        </w:rPr>
        <w:t>.</w:t>
      </w:r>
    </w:p>
    <w:p w:rsidR="00CB7F14" w:rsidRPr="00157816" w:rsidRDefault="00F16C32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Excavated soils should be allowed for </w:t>
      </w:r>
      <w:r w:rsidR="00C70187" w:rsidRPr="00157816">
        <w:rPr>
          <w:rFonts w:ascii="Arial" w:hAnsi="Arial" w:cs="Arial"/>
          <w:color w:val="000000" w:themeColor="text1"/>
          <w:kern w:val="24"/>
        </w:rPr>
        <w:t>normal</w:t>
      </w:r>
      <w:r w:rsidRPr="00157816">
        <w:rPr>
          <w:rFonts w:ascii="Arial" w:hAnsi="Arial" w:cs="Arial"/>
          <w:color w:val="000000" w:themeColor="text1"/>
          <w:kern w:val="24"/>
        </w:rPr>
        <w:t xml:space="preserve"> disposal</w:t>
      </w:r>
    </w:p>
    <w:p w:rsidR="00F16C32" w:rsidRPr="00157816" w:rsidRDefault="00C70187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.</w:t>
      </w:r>
      <w:r w:rsidR="00CB7F14" w:rsidRPr="00157816">
        <w:rPr>
          <w:rFonts w:ascii="Arial" w:hAnsi="Arial" w:cs="Arial"/>
          <w:color w:val="000000" w:themeColor="text1"/>
          <w:kern w:val="24"/>
        </w:rPr>
        <w:t xml:space="preserve"> As is standard practice on large capital projects even when the Phase I and II results do not identify areas of concern a contingency amount is included in the project budget to address any environmental mitigation work that may need to be performed during </w:t>
      </w:r>
      <w:r w:rsidR="009019F8" w:rsidRPr="00157816">
        <w:rPr>
          <w:rFonts w:ascii="Arial" w:hAnsi="Arial" w:cs="Arial"/>
          <w:color w:val="000000" w:themeColor="text1"/>
          <w:kern w:val="24"/>
        </w:rPr>
        <w:t>construction</w:t>
      </w:r>
      <w:r w:rsidR="00CB7F14" w:rsidRPr="00157816">
        <w:rPr>
          <w:rFonts w:ascii="Arial" w:hAnsi="Arial" w:cs="Arial"/>
          <w:color w:val="000000" w:themeColor="text1"/>
          <w:kern w:val="24"/>
        </w:rPr>
        <w:t>.</w:t>
      </w:r>
    </w:p>
    <w:p w:rsidR="00F16C32" w:rsidRPr="00157816" w:rsidRDefault="00F16C32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 xml:space="preserve">Low levels of contaminants are present in one or more soil samples and </w:t>
      </w:r>
      <w:r w:rsidR="00CE1648" w:rsidRPr="00157816">
        <w:rPr>
          <w:rFonts w:ascii="Arial" w:hAnsi="Arial" w:cs="Arial"/>
          <w:color w:val="000000" w:themeColor="text1"/>
          <w:kern w:val="24"/>
        </w:rPr>
        <w:t>c</w:t>
      </w:r>
      <w:r w:rsidR="00C70187" w:rsidRPr="00157816">
        <w:rPr>
          <w:rFonts w:ascii="Arial" w:hAnsi="Arial" w:cs="Arial"/>
          <w:color w:val="000000" w:themeColor="text1"/>
          <w:kern w:val="24"/>
        </w:rPr>
        <w:t xml:space="preserve">ommunication with receiving </w:t>
      </w:r>
      <w:r w:rsidRPr="00157816">
        <w:rPr>
          <w:rFonts w:ascii="Arial" w:hAnsi="Arial" w:cs="Arial"/>
          <w:color w:val="000000" w:themeColor="text1"/>
          <w:kern w:val="24"/>
        </w:rPr>
        <w:t xml:space="preserve">parties </w:t>
      </w:r>
      <w:r w:rsidR="005623EE" w:rsidRPr="00157816">
        <w:rPr>
          <w:rFonts w:ascii="Arial" w:hAnsi="Arial" w:cs="Arial"/>
          <w:color w:val="000000" w:themeColor="text1"/>
          <w:kern w:val="24"/>
        </w:rPr>
        <w:t xml:space="preserve">receiving </w:t>
      </w:r>
      <w:r w:rsidR="00CE1648" w:rsidRPr="00157816">
        <w:rPr>
          <w:rFonts w:ascii="Arial" w:hAnsi="Arial" w:cs="Arial"/>
          <w:color w:val="000000" w:themeColor="text1"/>
          <w:kern w:val="24"/>
        </w:rPr>
        <w:t xml:space="preserve">the fill </w:t>
      </w:r>
      <w:r w:rsidRPr="00157816">
        <w:rPr>
          <w:rFonts w:ascii="Arial" w:hAnsi="Arial" w:cs="Arial"/>
          <w:color w:val="000000" w:themeColor="text1"/>
          <w:kern w:val="24"/>
        </w:rPr>
        <w:t>is recommended</w:t>
      </w:r>
      <w:r w:rsidR="00C70187" w:rsidRPr="00157816">
        <w:rPr>
          <w:rFonts w:ascii="Arial" w:hAnsi="Arial" w:cs="Arial"/>
          <w:color w:val="000000" w:themeColor="text1"/>
          <w:kern w:val="24"/>
        </w:rPr>
        <w:t>.</w:t>
      </w:r>
    </w:p>
    <w:p w:rsidR="00F16C32" w:rsidRPr="00157816" w:rsidRDefault="00F16C32" w:rsidP="001179A3">
      <w:pPr>
        <w:numPr>
          <w:ilvl w:val="1"/>
          <w:numId w:val="5"/>
        </w:numPr>
        <w:kinsoku w:val="0"/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157816">
        <w:rPr>
          <w:rFonts w:ascii="Arial" w:hAnsi="Arial" w:cs="Arial"/>
          <w:color w:val="000000" w:themeColor="text1"/>
          <w:kern w:val="24"/>
        </w:rPr>
        <w:t>No further assessment is recommended</w:t>
      </w:r>
      <w:r w:rsidR="00CE1648" w:rsidRPr="00157816">
        <w:rPr>
          <w:rFonts w:ascii="Arial" w:hAnsi="Arial" w:cs="Arial"/>
          <w:color w:val="000000" w:themeColor="text1"/>
          <w:kern w:val="24"/>
        </w:rPr>
        <w:t xml:space="preserve"> for either site</w:t>
      </w:r>
      <w:r w:rsidR="00C70187" w:rsidRPr="00157816">
        <w:rPr>
          <w:rFonts w:ascii="Arial" w:hAnsi="Arial" w:cs="Arial"/>
          <w:color w:val="000000" w:themeColor="text1"/>
          <w:kern w:val="24"/>
        </w:rPr>
        <w:t>.</w:t>
      </w:r>
    </w:p>
    <w:p w:rsidR="005623EE" w:rsidRPr="00157816" w:rsidRDefault="002B07B2" w:rsidP="001179A3">
      <w:pPr>
        <w:numPr>
          <w:ilvl w:val="1"/>
          <w:numId w:val="5"/>
        </w:numPr>
        <w:kinsoku w:val="0"/>
        <w:overflowPunct w:val="0"/>
        <w:spacing w:after="120" w:line="240" w:lineRule="auto"/>
        <w:contextualSpacing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color w:val="000000" w:themeColor="text1"/>
          <w:kern w:val="24"/>
        </w:rPr>
        <w:t>S</w:t>
      </w:r>
      <w:r w:rsidR="005623EE" w:rsidRPr="00157816">
        <w:rPr>
          <w:rFonts w:ascii="Arial" w:hAnsi="Arial" w:cs="Arial"/>
          <w:color w:val="000000" w:themeColor="text1"/>
          <w:kern w:val="24"/>
        </w:rPr>
        <w:t xml:space="preserve">tandard practice on large capital projects </w:t>
      </w:r>
      <w:r w:rsidR="001E42F5">
        <w:rPr>
          <w:rFonts w:ascii="Arial" w:hAnsi="Arial" w:cs="Arial"/>
          <w:color w:val="000000" w:themeColor="text1"/>
          <w:kern w:val="24"/>
        </w:rPr>
        <w:t xml:space="preserve">is to include a </w:t>
      </w:r>
      <w:r w:rsidR="005623EE" w:rsidRPr="00157816">
        <w:rPr>
          <w:rFonts w:ascii="Arial" w:hAnsi="Arial" w:cs="Arial"/>
          <w:color w:val="000000" w:themeColor="text1"/>
          <w:kern w:val="24"/>
        </w:rPr>
        <w:t xml:space="preserve">contingency amount in the project budget to address any environmental mitigation work that may need to be performed during </w:t>
      </w:r>
      <w:r w:rsidR="009019F8" w:rsidRPr="00157816">
        <w:rPr>
          <w:rFonts w:ascii="Arial" w:hAnsi="Arial" w:cs="Arial"/>
          <w:color w:val="000000" w:themeColor="text1"/>
          <w:kern w:val="24"/>
        </w:rPr>
        <w:t>construction</w:t>
      </w:r>
      <w:r w:rsidR="001E42F5">
        <w:rPr>
          <w:rFonts w:ascii="Arial" w:hAnsi="Arial" w:cs="Arial"/>
          <w:color w:val="000000" w:themeColor="text1"/>
          <w:kern w:val="24"/>
        </w:rPr>
        <w:t xml:space="preserve"> even when no issues have been identified in the Phase I or II analysis</w:t>
      </w:r>
      <w:r w:rsidR="005623EE" w:rsidRPr="00157816">
        <w:rPr>
          <w:rFonts w:ascii="Arial" w:hAnsi="Arial" w:cs="Arial"/>
          <w:color w:val="000000" w:themeColor="text1"/>
          <w:kern w:val="24"/>
        </w:rPr>
        <w:t>.</w:t>
      </w:r>
    </w:p>
    <w:p w:rsidR="001179A3" w:rsidRPr="00157816" w:rsidRDefault="001179A3" w:rsidP="001179A3">
      <w:pPr>
        <w:kinsoku w:val="0"/>
        <w:overflowPunct w:val="0"/>
        <w:spacing w:after="120" w:line="240" w:lineRule="auto"/>
        <w:contextualSpacing/>
        <w:textAlignment w:val="baseline"/>
        <w:rPr>
          <w:rFonts w:ascii="Arial" w:hAnsi="Arial" w:cs="Arial"/>
          <w:color w:val="000000" w:themeColor="text1"/>
          <w:kern w:val="24"/>
        </w:rPr>
      </w:pPr>
    </w:p>
    <w:p w:rsidR="001179A3" w:rsidRPr="001179A3" w:rsidRDefault="001179A3" w:rsidP="001179A3">
      <w:pPr>
        <w:kinsoku w:val="0"/>
        <w:overflowPunct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hAnsi="Arial"/>
          <w:color w:val="000000" w:themeColor="text1"/>
          <w:kern w:val="24"/>
          <w:sz w:val="24"/>
          <w:szCs w:val="24"/>
        </w:rPr>
        <w:t>Regards,</w:t>
      </w:r>
    </w:p>
    <w:p w:rsidR="00152340" w:rsidRDefault="00F16C32" w:rsidP="001179A3">
      <w:pPr>
        <w:spacing w:after="120"/>
        <w:rPr>
          <w:b/>
          <w:noProof/>
        </w:rPr>
      </w:pPr>
      <w:r>
        <w:rPr>
          <w:b/>
          <w:noProof/>
        </w:rPr>
        <w:t>Paul Smith</w:t>
      </w:r>
    </w:p>
    <w:p w:rsidR="00152340" w:rsidRDefault="00152340" w:rsidP="008727FD">
      <w:pPr>
        <w:spacing w:after="120" w:line="240" w:lineRule="auto"/>
        <w:rPr>
          <w:noProof/>
        </w:rPr>
      </w:pPr>
      <w:r>
        <w:rPr>
          <w:noProof/>
        </w:rPr>
        <w:t xml:space="preserve">Project Manager </w:t>
      </w:r>
    </w:p>
    <w:p w:rsidR="00152340" w:rsidRDefault="00152340" w:rsidP="00152340">
      <w:pPr>
        <w:spacing w:after="0"/>
        <w:rPr>
          <w:rFonts w:ascii="Calibri" w:hAnsi="Calibri" w:cs="Times New Roman"/>
          <w:noProof/>
          <w:color w:val="44546A"/>
        </w:rPr>
      </w:pPr>
      <w:r>
        <w:rPr>
          <w:rFonts w:ascii="Calibri" w:hAnsi="Calibri"/>
          <w:noProof/>
          <w:color w:val="44546A"/>
        </w:rPr>
        <w:drawing>
          <wp:inline distT="0" distB="0" distL="0" distR="0">
            <wp:extent cx="1238250" cy="433388"/>
            <wp:effectExtent l="0" t="0" r="0" b="508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18" cy="4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340" w:rsidRDefault="00152340" w:rsidP="00152340">
      <w:pPr>
        <w:spacing w:after="0"/>
        <w:rPr>
          <w:rFonts w:ascii="Arial" w:hAnsi="Arial" w:cs="Arial"/>
          <w:noProof/>
          <w:color w:val="44546A"/>
          <w:sz w:val="16"/>
          <w:szCs w:val="16"/>
        </w:rPr>
      </w:pPr>
      <w:r>
        <w:rPr>
          <w:rFonts w:ascii="Arial" w:hAnsi="Arial" w:cs="Arial"/>
          <w:noProof/>
          <w:color w:val="44546A"/>
          <w:sz w:val="16"/>
          <w:szCs w:val="16"/>
        </w:rPr>
        <w:t>12745 SW Beaverdam Rd., Ste. #120</w:t>
      </w:r>
    </w:p>
    <w:p w:rsidR="00A94574" w:rsidRPr="00A94574" w:rsidRDefault="00152340" w:rsidP="00152340">
      <w:pPr>
        <w:spacing w:after="0"/>
      </w:pPr>
      <w:r>
        <w:rPr>
          <w:rFonts w:ascii="Arial" w:hAnsi="Arial" w:cs="Arial"/>
          <w:noProof/>
          <w:color w:val="44546A"/>
          <w:sz w:val="16"/>
          <w:szCs w:val="16"/>
        </w:rPr>
        <w:t>Beaverton, OR  97005</w:t>
      </w:r>
    </w:p>
    <w:sectPr w:rsidR="00A94574" w:rsidRPr="00A94574" w:rsidSect="00B9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E41"/>
    <w:multiLevelType w:val="hybridMultilevel"/>
    <w:tmpl w:val="BCFA59BE"/>
    <w:lvl w:ilvl="0" w:tplc="39C2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0A4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A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2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C6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69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E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62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862074"/>
    <w:multiLevelType w:val="hybridMultilevel"/>
    <w:tmpl w:val="838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C95"/>
    <w:multiLevelType w:val="hybridMultilevel"/>
    <w:tmpl w:val="385EE9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EC1541"/>
    <w:multiLevelType w:val="hybridMultilevel"/>
    <w:tmpl w:val="207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9A5"/>
    <w:multiLevelType w:val="hybridMultilevel"/>
    <w:tmpl w:val="A3C4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1CED"/>
    <w:multiLevelType w:val="hybridMultilevel"/>
    <w:tmpl w:val="E0AE2744"/>
    <w:lvl w:ilvl="0" w:tplc="AAF8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6E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4F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5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9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C7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8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B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41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B64BBB"/>
    <w:multiLevelType w:val="hybridMultilevel"/>
    <w:tmpl w:val="31B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94908"/>
    <w:multiLevelType w:val="hybridMultilevel"/>
    <w:tmpl w:val="5B0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7A6B"/>
    <w:rsid w:val="00016AA2"/>
    <w:rsid w:val="000206F0"/>
    <w:rsid w:val="00060092"/>
    <w:rsid w:val="000844E6"/>
    <w:rsid w:val="000B1F02"/>
    <w:rsid w:val="000C2909"/>
    <w:rsid w:val="000C5F1F"/>
    <w:rsid w:val="000C75B7"/>
    <w:rsid w:val="001179A3"/>
    <w:rsid w:val="00126D2F"/>
    <w:rsid w:val="00134661"/>
    <w:rsid w:val="00135F62"/>
    <w:rsid w:val="00152340"/>
    <w:rsid w:val="00157816"/>
    <w:rsid w:val="001601B2"/>
    <w:rsid w:val="00175E9C"/>
    <w:rsid w:val="001E2538"/>
    <w:rsid w:val="001E42F5"/>
    <w:rsid w:val="001E5E89"/>
    <w:rsid w:val="001F05BD"/>
    <w:rsid w:val="00220D87"/>
    <w:rsid w:val="00267984"/>
    <w:rsid w:val="00272DC6"/>
    <w:rsid w:val="00277509"/>
    <w:rsid w:val="0028150B"/>
    <w:rsid w:val="00286C72"/>
    <w:rsid w:val="002B07B2"/>
    <w:rsid w:val="00300EFB"/>
    <w:rsid w:val="00305E64"/>
    <w:rsid w:val="00311448"/>
    <w:rsid w:val="00352C01"/>
    <w:rsid w:val="003864B3"/>
    <w:rsid w:val="00422EE3"/>
    <w:rsid w:val="004416E5"/>
    <w:rsid w:val="00454986"/>
    <w:rsid w:val="0047704C"/>
    <w:rsid w:val="00494C8E"/>
    <w:rsid w:val="004B6951"/>
    <w:rsid w:val="004B756F"/>
    <w:rsid w:val="004E3A9A"/>
    <w:rsid w:val="00530097"/>
    <w:rsid w:val="005623EE"/>
    <w:rsid w:val="005B4BE6"/>
    <w:rsid w:val="005D147F"/>
    <w:rsid w:val="005E4F36"/>
    <w:rsid w:val="00601F31"/>
    <w:rsid w:val="00645211"/>
    <w:rsid w:val="006548DA"/>
    <w:rsid w:val="006920DD"/>
    <w:rsid w:val="006A308D"/>
    <w:rsid w:val="00711C75"/>
    <w:rsid w:val="00737F9A"/>
    <w:rsid w:val="00756D2A"/>
    <w:rsid w:val="00777A6B"/>
    <w:rsid w:val="007A6AEE"/>
    <w:rsid w:val="007B1FFA"/>
    <w:rsid w:val="007C3984"/>
    <w:rsid w:val="00807F2F"/>
    <w:rsid w:val="008727FD"/>
    <w:rsid w:val="008B7533"/>
    <w:rsid w:val="008C7098"/>
    <w:rsid w:val="009019F8"/>
    <w:rsid w:val="0090703D"/>
    <w:rsid w:val="0097352A"/>
    <w:rsid w:val="009C39DD"/>
    <w:rsid w:val="009D17DE"/>
    <w:rsid w:val="00A31136"/>
    <w:rsid w:val="00A67DD3"/>
    <w:rsid w:val="00A94574"/>
    <w:rsid w:val="00A9580B"/>
    <w:rsid w:val="00B0712D"/>
    <w:rsid w:val="00B4799D"/>
    <w:rsid w:val="00B75E80"/>
    <w:rsid w:val="00B82E30"/>
    <w:rsid w:val="00B968BF"/>
    <w:rsid w:val="00BE78C8"/>
    <w:rsid w:val="00C00D9A"/>
    <w:rsid w:val="00C20C33"/>
    <w:rsid w:val="00C309C8"/>
    <w:rsid w:val="00C70187"/>
    <w:rsid w:val="00C97AFC"/>
    <w:rsid w:val="00CB7F14"/>
    <w:rsid w:val="00CC543B"/>
    <w:rsid w:val="00CD784B"/>
    <w:rsid w:val="00CE1648"/>
    <w:rsid w:val="00CF6E0F"/>
    <w:rsid w:val="00D17401"/>
    <w:rsid w:val="00D673EE"/>
    <w:rsid w:val="00D70351"/>
    <w:rsid w:val="00DA6154"/>
    <w:rsid w:val="00DC558B"/>
    <w:rsid w:val="00E62144"/>
    <w:rsid w:val="00E66896"/>
    <w:rsid w:val="00E779ED"/>
    <w:rsid w:val="00EC36F8"/>
    <w:rsid w:val="00EC3960"/>
    <w:rsid w:val="00F15DB6"/>
    <w:rsid w:val="00F16C32"/>
    <w:rsid w:val="00F436A7"/>
    <w:rsid w:val="00F549DE"/>
    <w:rsid w:val="00F8141E"/>
    <w:rsid w:val="00F95294"/>
    <w:rsid w:val="00F95736"/>
    <w:rsid w:val="00F95C37"/>
    <w:rsid w:val="00FA6437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9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294"/>
    <w:rPr>
      <w:color w:val="0000FF"/>
      <w:u w:val="single"/>
    </w:rPr>
  </w:style>
  <w:style w:type="table" w:styleId="TableGrid">
    <w:name w:val="Table Grid"/>
    <w:basedOn w:val="TableNormal"/>
    <w:uiPriority w:val="59"/>
    <w:rsid w:val="00CC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7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524C9B9073C49A057E27D0F749871" ma:contentTypeVersion="2" ma:contentTypeDescription="Create a new document." ma:contentTypeScope="" ma:versionID="349fbc4a3c69e79fc80637d7c0263c20">
  <xsd:schema xmlns:xsd="http://www.w3.org/2001/XMLSchema" xmlns:xs="http://www.w3.org/2001/XMLSchema" xmlns:p="http://schemas.microsoft.com/office/2006/metadata/properties" xmlns:ns2="0d906855-ebbb-4290-a836-ef3e8f64572d" xmlns:ns3="4027b9a0-6065-4391-9dfd-17ef50cbe05a" targetNamespace="http://schemas.microsoft.com/office/2006/metadata/properties" ma:root="true" ma:fieldsID="ada12d0779ac9511238e380a045ee813" ns2:_="" ns3:_="">
    <xsd:import namespace="0d906855-ebbb-4290-a836-ef3e8f64572d"/>
    <xsd:import namespace="4027b9a0-6065-4391-9dfd-17ef50cbe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06855-ebbb-4290-a836-ef3e8f64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b9a0-6065-4391-9dfd-17ef50cbe05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5358C-1F7D-4712-A3EA-48ABFCD5C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06855-ebbb-4290-a836-ef3e8f64572d"/>
    <ds:schemaRef ds:uri="4027b9a0-6065-4391-9dfd-17ef50cbe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A7925-F820-44A4-9CC6-7896D9ACD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91BE3-AFBC-48F9-8CBB-CEF1DC6CD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dgarland</dc:creator>
  <cp:lastModifiedBy>Jessica Morkert-Shibley</cp:lastModifiedBy>
  <cp:revision>2</cp:revision>
  <cp:lastPrinted>2012-08-27T18:04:00Z</cp:lastPrinted>
  <dcterms:created xsi:type="dcterms:W3CDTF">2015-04-08T19:07:00Z</dcterms:created>
  <dcterms:modified xsi:type="dcterms:W3CDTF">2015-04-08T19:07:00Z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0x0101008B7524C9B9073C49A057E27D0F749871</vt:lpwstr>
  </property>
</Properties>
</file>