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90" w:type="dxa"/>
        <w:tblBorders>
          <w:bottom w:val="single" w:sz="4" w:space="0" w:color="auto"/>
        </w:tblBorders>
        <w:tblLayout w:type="fixed"/>
        <w:tblCellMar>
          <w:top w:w="29" w:type="dxa"/>
          <w:left w:w="29" w:type="dxa"/>
          <w:bottom w:w="29" w:type="dxa"/>
          <w:right w:w="29" w:type="dxa"/>
        </w:tblCellMar>
        <w:tblLook w:val="01E0"/>
      </w:tblPr>
      <w:tblGrid>
        <w:gridCol w:w="9389"/>
      </w:tblGrid>
      <w:tr w:rsidR="00BC30C4" w:rsidRPr="00F4371C" w:rsidTr="00CA41E3">
        <w:trPr>
          <w:trHeight w:val="305"/>
        </w:trPr>
        <w:tc>
          <w:tcPr>
            <w:tcW w:w="9389" w:type="dxa"/>
            <w:vAlign w:val="center"/>
          </w:tcPr>
          <w:p w:rsidR="00BC30C4" w:rsidRPr="00F4371C" w:rsidRDefault="00352E77" w:rsidP="00674F21">
            <w:pPr>
              <w:spacing w:before="0" w:after="0"/>
              <w:rPr>
                <w:szCs w:val="24"/>
              </w:rPr>
            </w:pPr>
            <w:r>
              <w:t xml:space="preserve">January </w:t>
            </w:r>
            <w:r w:rsidR="00674F21">
              <w:t>11</w:t>
            </w:r>
            <w:r>
              <w:t>, 2016</w:t>
            </w:r>
          </w:p>
        </w:tc>
      </w:tr>
    </w:tbl>
    <w:p w:rsidR="00CC4165" w:rsidRDefault="00CC4165" w:rsidP="0034351A">
      <w:pPr>
        <w:spacing w:before="60" w:afterLines="60"/>
        <w:rPr>
          <w:szCs w:val="22"/>
        </w:rPr>
      </w:pPr>
    </w:p>
    <w:p w:rsidR="00B0695D" w:rsidRPr="00E31BFB" w:rsidRDefault="00B0695D" w:rsidP="00E31BFB">
      <w:pPr>
        <w:pStyle w:val="Heading1"/>
      </w:pPr>
      <w:r w:rsidRPr="00E31BFB">
        <w:t>Introduction/Background Information</w:t>
      </w:r>
    </w:p>
    <w:p w:rsidR="00672F7A" w:rsidRDefault="00B06088" w:rsidP="000B0DC3">
      <w:r>
        <w:rPr>
          <w:bCs/>
        </w:rPr>
        <w:t xml:space="preserve">Goal </w:t>
      </w:r>
      <w:r w:rsidR="00B347D5">
        <w:rPr>
          <w:bCs/>
        </w:rPr>
        <w:t>9</w:t>
      </w:r>
      <w:r>
        <w:rPr>
          <w:bCs/>
        </w:rPr>
        <w:t xml:space="preserve"> of Oregon’s statewide planning goals </w:t>
      </w:r>
      <w:r w:rsidR="00B347D5">
        <w:rPr>
          <w:bCs/>
        </w:rPr>
        <w:t>requires cities and counties to plan for and support economic activity and development</w:t>
      </w:r>
      <w:r>
        <w:rPr>
          <w:bCs/>
        </w:rPr>
        <w:t>.</w:t>
      </w:r>
      <w:r w:rsidR="00236F3D">
        <w:rPr>
          <w:bCs/>
        </w:rPr>
        <w:t xml:space="preserve"> </w:t>
      </w:r>
      <w:r>
        <w:rPr>
          <w:bCs/>
        </w:rPr>
        <w:t xml:space="preserve">The goal and its administrative rules call for cities and counties </w:t>
      </w:r>
      <w:r w:rsidR="005F4C54">
        <w:rPr>
          <w:bCs/>
        </w:rPr>
        <w:t xml:space="preserve">that have jurisdiction within an urban growth boundary </w:t>
      </w:r>
      <w:r>
        <w:rPr>
          <w:bCs/>
        </w:rPr>
        <w:t>to</w:t>
      </w:r>
      <w:r w:rsidR="00B347D5">
        <w:rPr>
          <w:bCs/>
        </w:rPr>
        <w:t xml:space="preserve"> </w:t>
      </w:r>
      <w:r w:rsidR="008F4153">
        <w:rPr>
          <w:bCs/>
        </w:rPr>
        <w:t xml:space="preserve">identify projected future employment needs through preparation of an economic opportunities analysis and </w:t>
      </w:r>
      <w:r w:rsidR="00617248">
        <w:rPr>
          <w:bCs/>
        </w:rPr>
        <w:t xml:space="preserve">to </w:t>
      </w:r>
      <w:r w:rsidR="008F4153">
        <w:rPr>
          <w:bCs/>
        </w:rPr>
        <w:t xml:space="preserve">ensure that adequate land is available to meet those future </w:t>
      </w:r>
      <w:bookmarkStart w:id="0" w:name="_GoBack"/>
      <w:bookmarkEnd w:id="0"/>
      <w:r w:rsidR="008F4153">
        <w:rPr>
          <w:bCs/>
        </w:rPr>
        <w:t>needs</w:t>
      </w:r>
      <w:r>
        <w:t>.</w:t>
      </w:r>
      <w:r w:rsidR="00672F7A">
        <w:t xml:space="preserve"> </w:t>
      </w:r>
      <w:r w:rsidR="009917F1">
        <w:t xml:space="preserve">The vast majority of non-resourced based economic activity in Multnomah County occurs in the urban areas of the County and </w:t>
      </w:r>
      <w:r w:rsidR="00672F7A">
        <w:t xml:space="preserve">Multnomah County is not required to prepare </w:t>
      </w:r>
      <w:proofErr w:type="gramStart"/>
      <w:r w:rsidR="00672F7A">
        <w:t>an economic opportunities</w:t>
      </w:r>
      <w:proofErr w:type="gramEnd"/>
      <w:r w:rsidR="00672F7A">
        <w:t xml:space="preserve"> analysis </w:t>
      </w:r>
      <w:r w:rsidR="009917F1">
        <w:t>for the rural portions of the County.</w:t>
      </w:r>
      <w:r w:rsidR="00672F7A">
        <w:t xml:space="preserve"> </w:t>
      </w:r>
    </w:p>
    <w:p w:rsidR="008F4153" w:rsidRDefault="008F4153" w:rsidP="000B0DC3">
      <w:r>
        <w:t>In the rural areas of the County which are the focus of this Comprehensive Plan, most economic activity is related to farm and forest resource-based uses.</w:t>
      </w:r>
      <w:r w:rsidR="00236F3D">
        <w:t xml:space="preserve"> </w:t>
      </w:r>
      <w:r>
        <w:t>A certain amount of economic activity also occurs in areas designated for rural commercial</w:t>
      </w:r>
      <w:r w:rsidR="00617248">
        <w:t xml:space="preserve"> or</w:t>
      </w:r>
      <w:r>
        <w:t xml:space="preserve"> industrial use, primarily within designated rural centers or through home occupations which are allowed in </w:t>
      </w:r>
      <w:r w:rsidR="00617248">
        <w:t>all</w:t>
      </w:r>
      <w:r>
        <w:t xml:space="preserve"> rural zones. As a result, this chapter includes a number of general policies supporting economic development within the County, as well as references to other Plan policies that support rural employment and other economic development activities.</w:t>
      </w:r>
    </w:p>
    <w:p w:rsidR="007B73FC" w:rsidRPr="00B57831" w:rsidRDefault="007B73FC" w:rsidP="00447298">
      <w:r>
        <w:t xml:space="preserve">This chapter </w:t>
      </w:r>
      <w:r w:rsidR="00C668F2">
        <w:t xml:space="preserve">also </w:t>
      </w:r>
      <w:r>
        <w:t xml:space="preserve">provides an overview of conditions and planning issues associated with </w:t>
      </w:r>
      <w:r w:rsidR="00B347D5">
        <w:t>rural economic development</w:t>
      </w:r>
      <w:r>
        <w:t>, along with Comprehensive Plan policies and strategies to address them.</w:t>
      </w:r>
    </w:p>
    <w:p w:rsidR="00CC4165" w:rsidRDefault="00152623" w:rsidP="0034351A">
      <w:pPr>
        <w:pStyle w:val="Heading2"/>
        <w:spacing w:before="60" w:afterLines="60"/>
        <w:rPr>
          <w:sz w:val="22"/>
        </w:rPr>
      </w:pPr>
      <w:r>
        <w:rPr>
          <w:sz w:val="22"/>
        </w:rPr>
        <w:t>economic</w:t>
      </w:r>
      <w:r w:rsidR="00B0695D" w:rsidRPr="00E31BFB">
        <w:rPr>
          <w:sz w:val="22"/>
        </w:rPr>
        <w:t xml:space="preserve"> Conditions</w:t>
      </w:r>
    </w:p>
    <w:p w:rsidR="00B57831" w:rsidRDefault="006F3C4E" w:rsidP="00B0695D">
      <w:r>
        <w:t xml:space="preserve">Rural Multnomah County is generally better off economically than the County as whole. </w:t>
      </w:r>
      <w:r w:rsidR="009A6635">
        <w:t>According to 2012 US Census data, t</w:t>
      </w:r>
      <w:r>
        <w:t xml:space="preserve">he rural areas of Multnomah County have a higher median household income than the County as a whole. West County generally has higher income, lower unemployment rate, and lower poverty rate than Multnomah County as a whole. Similarly, East County also has higher income and lower poverty </w:t>
      </w:r>
      <w:proofErr w:type="gramStart"/>
      <w:r>
        <w:t>rate,</w:t>
      </w:r>
      <w:proofErr w:type="gramEnd"/>
      <w:r>
        <w:t xml:space="preserve"> however the unemployment rate is higher than Multnomah County as a whole.</w:t>
      </w:r>
      <w:r w:rsidR="00236F3D">
        <w:t xml:space="preserve"> </w:t>
      </w:r>
    </w:p>
    <w:p w:rsidR="00D06A8A" w:rsidRDefault="00D06A8A" w:rsidP="00D06A8A">
      <w:pPr>
        <w:pStyle w:val="Caption"/>
        <w:keepNext/>
      </w:pPr>
      <w:r>
        <w:lastRenderedPageBreak/>
        <w:t xml:space="preserve">Table </w:t>
      </w:r>
      <w:r w:rsidR="000F2C29">
        <w:fldChar w:fldCharType="begin"/>
      </w:r>
      <w:r w:rsidR="000A1080">
        <w:instrText xml:space="preserve"> SEQ Table \* ARABIC </w:instrText>
      </w:r>
      <w:r w:rsidR="000F2C29">
        <w:fldChar w:fldCharType="separate"/>
      </w:r>
      <w:r w:rsidR="004C581E">
        <w:rPr>
          <w:noProof/>
        </w:rPr>
        <w:t>1</w:t>
      </w:r>
      <w:r w:rsidR="000F2C29">
        <w:rPr>
          <w:noProof/>
        </w:rPr>
        <w:fldChar w:fldCharType="end"/>
      </w:r>
      <w:r>
        <w:t xml:space="preserve"> – 2012 Multnomah County Farm Economic </w:t>
      </w:r>
      <w:proofErr w:type="gramStart"/>
      <w:r>
        <w:t>Summary</w:t>
      </w:r>
      <w:bookmarkStart w:id="1" w:name="_Ref438124131"/>
      <w:proofErr w:type="gramEnd"/>
      <w:r>
        <w:rPr>
          <w:rStyle w:val="FootnoteReference"/>
        </w:rPr>
        <w:footnoteReference w:id="2"/>
      </w:r>
      <w:bookmarkEnd w:id="1"/>
    </w:p>
    <w:tbl>
      <w:tblPr>
        <w:tblStyle w:val="TableGrid"/>
        <w:tblW w:w="0" w:type="auto"/>
        <w:tblLook w:val="04A0"/>
      </w:tblPr>
      <w:tblGrid>
        <w:gridCol w:w="3188"/>
        <w:gridCol w:w="1488"/>
      </w:tblGrid>
      <w:tr w:rsidR="00D06A8A" w:rsidTr="00D06A8A">
        <w:tc>
          <w:tcPr>
            <w:tcW w:w="0" w:type="auto"/>
          </w:tcPr>
          <w:p w:rsidR="00D06A8A" w:rsidRDefault="00D06A8A" w:rsidP="00B0695D">
            <w:r>
              <w:t>Number of Farms</w:t>
            </w:r>
          </w:p>
        </w:tc>
        <w:tc>
          <w:tcPr>
            <w:tcW w:w="0" w:type="auto"/>
          </w:tcPr>
          <w:p w:rsidR="00D06A8A" w:rsidRDefault="00D06A8A" w:rsidP="00D06A8A">
            <w:pPr>
              <w:jc w:val="right"/>
            </w:pPr>
            <w:r>
              <w:t>598</w:t>
            </w:r>
          </w:p>
        </w:tc>
      </w:tr>
      <w:tr w:rsidR="00D06A8A" w:rsidTr="00D06A8A">
        <w:tc>
          <w:tcPr>
            <w:tcW w:w="0" w:type="auto"/>
          </w:tcPr>
          <w:p w:rsidR="00D06A8A" w:rsidRDefault="00D06A8A" w:rsidP="00B0695D">
            <w:r>
              <w:t>Land in Farms</w:t>
            </w:r>
          </w:p>
        </w:tc>
        <w:tc>
          <w:tcPr>
            <w:tcW w:w="0" w:type="auto"/>
          </w:tcPr>
          <w:p w:rsidR="00D06A8A" w:rsidRDefault="00D06A8A" w:rsidP="00D06A8A">
            <w:pPr>
              <w:jc w:val="right"/>
            </w:pPr>
            <w:r>
              <w:t>29,983 acres</w:t>
            </w:r>
          </w:p>
        </w:tc>
      </w:tr>
      <w:tr w:rsidR="00D06A8A" w:rsidTr="00D06A8A">
        <w:tc>
          <w:tcPr>
            <w:tcW w:w="0" w:type="auto"/>
          </w:tcPr>
          <w:p w:rsidR="00D06A8A" w:rsidRDefault="00D06A8A" w:rsidP="00B0695D">
            <w:r>
              <w:t>Average Size of Farm</w:t>
            </w:r>
          </w:p>
        </w:tc>
        <w:tc>
          <w:tcPr>
            <w:tcW w:w="0" w:type="auto"/>
          </w:tcPr>
          <w:p w:rsidR="00D06A8A" w:rsidRDefault="00D06A8A" w:rsidP="00D06A8A">
            <w:pPr>
              <w:jc w:val="right"/>
            </w:pPr>
            <w:r>
              <w:t>50 acres</w:t>
            </w:r>
          </w:p>
        </w:tc>
      </w:tr>
      <w:tr w:rsidR="00D06A8A" w:rsidTr="00D06A8A">
        <w:tc>
          <w:tcPr>
            <w:tcW w:w="0" w:type="auto"/>
          </w:tcPr>
          <w:p w:rsidR="00D06A8A" w:rsidRDefault="00D06A8A" w:rsidP="00B0695D">
            <w:r>
              <w:t>Market Value of Products Sold</w:t>
            </w:r>
          </w:p>
        </w:tc>
        <w:tc>
          <w:tcPr>
            <w:tcW w:w="0" w:type="auto"/>
          </w:tcPr>
          <w:p w:rsidR="00D06A8A" w:rsidRDefault="00D06A8A" w:rsidP="00D06A8A">
            <w:pPr>
              <w:jc w:val="right"/>
            </w:pPr>
            <w:r>
              <w:t>$68,936,000</w:t>
            </w:r>
          </w:p>
        </w:tc>
      </w:tr>
      <w:tr w:rsidR="00D06A8A" w:rsidTr="00D06A8A">
        <w:tc>
          <w:tcPr>
            <w:tcW w:w="0" w:type="auto"/>
          </w:tcPr>
          <w:p w:rsidR="00D06A8A" w:rsidRDefault="00D06A8A" w:rsidP="00B0695D">
            <w:r>
              <w:t>Average Per Farm</w:t>
            </w:r>
          </w:p>
        </w:tc>
        <w:tc>
          <w:tcPr>
            <w:tcW w:w="0" w:type="auto"/>
          </w:tcPr>
          <w:p w:rsidR="00D06A8A" w:rsidRDefault="00D06A8A" w:rsidP="00D06A8A">
            <w:pPr>
              <w:jc w:val="right"/>
            </w:pPr>
            <w:r>
              <w:t>$115,278</w:t>
            </w:r>
          </w:p>
        </w:tc>
      </w:tr>
    </w:tbl>
    <w:p w:rsidR="00DB60AC" w:rsidRDefault="00DB60AC" w:rsidP="00DB60AC">
      <w:pPr>
        <w:pStyle w:val="Caption"/>
        <w:keepNext/>
      </w:pPr>
      <w:r>
        <w:t xml:space="preserve">Figure </w:t>
      </w:r>
      <w:r w:rsidR="000F2C29">
        <w:fldChar w:fldCharType="begin"/>
      </w:r>
      <w:r w:rsidR="000A1080">
        <w:instrText xml:space="preserve"> SEQ Figure \* ARABIC </w:instrText>
      </w:r>
      <w:r w:rsidR="000F2C29">
        <w:fldChar w:fldCharType="separate"/>
      </w:r>
      <w:r>
        <w:rPr>
          <w:noProof/>
        </w:rPr>
        <w:t>1</w:t>
      </w:r>
      <w:r w:rsidR="000F2C29">
        <w:rPr>
          <w:noProof/>
        </w:rPr>
        <w:fldChar w:fldCharType="end"/>
      </w:r>
      <w:r>
        <w:t xml:space="preserve"> – Land in Farms, 2012 by Land Use</w:t>
      </w:r>
      <w:fldSimple w:instr=" NOTEREF _Ref438124131 \h  \* MERGEFORMAT ">
        <w:r w:rsidRPr="00DB60AC">
          <w:t>1</w:t>
        </w:r>
      </w:fldSimple>
    </w:p>
    <w:p w:rsidR="00D06A8A" w:rsidRDefault="00DB60AC" w:rsidP="00B0695D">
      <w:r>
        <w:rPr>
          <w:noProof/>
        </w:rPr>
        <w:drawing>
          <wp:inline distT="0" distB="0" distL="0" distR="0">
            <wp:extent cx="321945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581E" w:rsidRDefault="004C581E" w:rsidP="004C581E">
      <w:pPr>
        <w:pStyle w:val="Caption"/>
        <w:keepNext/>
      </w:pPr>
      <w:r>
        <w:t xml:space="preserve">Table </w:t>
      </w:r>
      <w:r w:rsidR="000F2C29">
        <w:fldChar w:fldCharType="begin"/>
      </w:r>
      <w:r w:rsidR="000A1080">
        <w:instrText xml:space="preserve"> SEQ Table \* ARABIC </w:instrText>
      </w:r>
      <w:r w:rsidR="000F2C29">
        <w:fldChar w:fldCharType="separate"/>
      </w:r>
      <w:r>
        <w:rPr>
          <w:noProof/>
        </w:rPr>
        <w:t>2</w:t>
      </w:r>
      <w:r w:rsidR="000F2C29">
        <w:rPr>
          <w:noProof/>
        </w:rPr>
        <w:fldChar w:fldCharType="end"/>
      </w:r>
      <w:r>
        <w:t xml:space="preserve"> – 2012 Multnomah County Farm Economic Characteristics</w:t>
      </w:r>
      <w:fldSimple w:instr=" NOTEREF _Ref438124131 \h  \* MERGEFORMAT ">
        <w:r w:rsidRPr="004C581E">
          <w:t>1</w:t>
        </w:r>
      </w:fldSimple>
    </w:p>
    <w:tbl>
      <w:tblPr>
        <w:tblStyle w:val="TableGrid"/>
        <w:tblW w:w="0" w:type="auto"/>
        <w:tblLook w:val="04A0"/>
      </w:tblPr>
      <w:tblGrid>
        <w:gridCol w:w="2601"/>
        <w:gridCol w:w="1036"/>
      </w:tblGrid>
      <w:tr w:rsidR="00DB60AC" w:rsidTr="004C581E">
        <w:tc>
          <w:tcPr>
            <w:tcW w:w="0" w:type="auto"/>
          </w:tcPr>
          <w:p w:rsidR="00DB60AC" w:rsidRDefault="00DB60AC" w:rsidP="00B0695D">
            <w:r>
              <w:t xml:space="preserve">Farms by value of sales: </w:t>
            </w:r>
          </w:p>
        </w:tc>
        <w:tc>
          <w:tcPr>
            <w:tcW w:w="0" w:type="auto"/>
          </w:tcPr>
          <w:p w:rsidR="00DB60AC" w:rsidRDefault="004C581E" w:rsidP="00B0695D">
            <w:r>
              <w:t>Quantity</w:t>
            </w:r>
          </w:p>
        </w:tc>
      </w:tr>
      <w:tr w:rsidR="00DB60AC" w:rsidTr="004C581E">
        <w:tc>
          <w:tcPr>
            <w:tcW w:w="0" w:type="auto"/>
          </w:tcPr>
          <w:p w:rsidR="00DB60AC" w:rsidRDefault="00DB60AC" w:rsidP="00B0695D">
            <w:r>
              <w:t>Less than $1,000</w:t>
            </w:r>
          </w:p>
        </w:tc>
        <w:tc>
          <w:tcPr>
            <w:tcW w:w="0" w:type="auto"/>
          </w:tcPr>
          <w:p w:rsidR="00DB60AC" w:rsidRDefault="00DB60AC" w:rsidP="004C581E">
            <w:pPr>
              <w:jc w:val="right"/>
            </w:pPr>
            <w:r>
              <w:t>127</w:t>
            </w:r>
          </w:p>
        </w:tc>
      </w:tr>
      <w:tr w:rsidR="00DB60AC" w:rsidTr="004C581E">
        <w:tc>
          <w:tcPr>
            <w:tcW w:w="0" w:type="auto"/>
          </w:tcPr>
          <w:p w:rsidR="00DB60AC" w:rsidRDefault="00DB60AC" w:rsidP="00B0695D">
            <w:r>
              <w:t>$1,000 to $2,499</w:t>
            </w:r>
          </w:p>
        </w:tc>
        <w:tc>
          <w:tcPr>
            <w:tcW w:w="0" w:type="auto"/>
          </w:tcPr>
          <w:p w:rsidR="00DB60AC" w:rsidRDefault="00DB60AC" w:rsidP="004C581E">
            <w:pPr>
              <w:jc w:val="right"/>
            </w:pPr>
            <w:r>
              <w:t>94</w:t>
            </w:r>
          </w:p>
        </w:tc>
      </w:tr>
      <w:tr w:rsidR="00DB60AC" w:rsidTr="004C581E">
        <w:tc>
          <w:tcPr>
            <w:tcW w:w="0" w:type="auto"/>
          </w:tcPr>
          <w:p w:rsidR="00DB60AC" w:rsidRDefault="00DB60AC" w:rsidP="00B0695D">
            <w:r>
              <w:t>$2,500 to $4,999</w:t>
            </w:r>
          </w:p>
        </w:tc>
        <w:tc>
          <w:tcPr>
            <w:tcW w:w="0" w:type="auto"/>
          </w:tcPr>
          <w:p w:rsidR="00DB60AC" w:rsidRDefault="00DB60AC" w:rsidP="004C581E">
            <w:pPr>
              <w:jc w:val="right"/>
            </w:pPr>
            <w:r>
              <w:t>108</w:t>
            </w:r>
          </w:p>
        </w:tc>
      </w:tr>
      <w:tr w:rsidR="00DB60AC" w:rsidTr="004C581E">
        <w:tc>
          <w:tcPr>
            <w:tcW w:w="0" w:type="auto"/>
          </w:tcPr>
          <w:p w:rsidR="00DB60AC" w:rsidRDefault="00DB60AC" w:rsidP="00B0695D">
            <w:r>
              <w:t>$5,000 to $9,999</w:t>
            </w:r>
          </w:p>
        </w:tc>
        <w:tc>
          <w:tcPr>
            <w:tcW w:w="0" w:type="auto"/>
          </w:tcPr>
          <w:p w:rsidR="00DB60AC" w:rsidRDefault="00DB60AC" w:rsidP="004C581E">
            <w:pPr>
              <w:jc w:val="right"/>
            </w:pPr>
            <w:r>
              <w:t>89</w:t>
            </w:r>
          </w:p>
        </w:tc>
      </w:tr>
      <w:tr w:rsidR="00DB60AC" w:rsidTr="004C581E">
        <w:tc>
          <w:tcPr>
            <w:tcW w:w="0" w:type="auto"/>
          </w:tcPr>
          <w:p w:rsidR="00DB60AC" w:rsidRDefault="004C581E" w:rsidP="00B0695D">
            <w:r>
              <w:t>$10,000 to $19,999</w:t>
            </w:r>
          </w:p>
        </w:tc>
        <w:tc>
          <w:tcPr>
            <w:tcW w:w="0" w:type="auto"/>
          </w:tcPr>
          <w:p w:rsidR="00DB60AC" w:rsidRDefault="004C581E" w:rsidP="004C581E">
            <w:pPr>
              <w:jc w:val="right"/>
            </w:pPr>
            <w:r>
              <w:t>51</w:t>
            </w:r>
          </w:p>
        </w:tc>
      </w:tr>
      <w:tr w:rsidR="004C581E" w:rsidTr="004C581E">
        <w:tc>
          <w:tcPr>
            <w:tcW w:w="0" w:type="auto"/>
          </w:tcPr>
          <w:p w:rsidR="004C581E" w:rsidRDefault="004C581E" w:rsidP="00B0695D">
            <w:r>
              <w:t>$20,000 to $24,999</w:t>
            </w:r>
          </w:p>
        </w:tc>
        <w:tc>
          <w:tcPr>
            <w:tcW w:w="0" w:type="auto"/>
          </w:tcPr>
          <w:p w:rsidR="004C581E" w:rsidRDefault="004C581E" w:rsidP="004C581E">
            <w:pPr>
              <w:jc w:val="right"/>
            </w:pPr>
            <w:r>
              <w:t>12</w:t>
            </w:r>
          </w:p>
        </w:tc>
      </w:tr>
      <w:tr w:rsidR="004C581E" w:rsidTr="004C581E">
        <w:tc>
          <w:tcPr>
            <w:tcW w:w="0" w:type="auto"/>
          </w:tcPr>
          <w:p w:rsidR="004C581E" w:rsidRDefault="004C581E" w:rsidP="00B0695D">
            <w:r>
              <w:t>$25,000 to $39,999</w:t>
            </w:r>
          </w:p>
        </w:tc>
        <w:tc>
          <w:tcPr>
            <w:tcW w:w="0" w:type="auto"/>
          </w:tcPr>
          <w:p w:rsidR="004C581E" w:rsidRDefault="004C581E" w:rsidP="004C581E">
            <w:pPr>
              <w:jc w:val="right"/>
            </w:pPr>
            <w:r>
              <w:t>19</w:t>
            </w:r>
          </w:p>
        </w:tc>
      </w:tr>
      <w:tr w:rsidR="004C581E" w:rsidTr="004C581E">
        <w:tc>
          <w:tcPr>
            <w:tcW w:w="0" w:type="auto"/>
          </w:tcPr>
          <w:p w:rsidR="004C581E" w:rsidRDefault="004C581E" w:rsidP="00B0695D">
            <w:r>
              <w:t>$40,000 to $49,999</w:t>
            </w:r>
          </w:p>
        </w:tc>
        <w:tc>
          <w:tcPr>
            <w:tcW w:w="0" w:type="auto"/>
          </w:tcPr>
          <w:p w:rsidR="004C581E" w:rsidRDefault="004C581E" w:rsidP="004C581E">
            <w:pPr>
              <w:jc w:val="right"/>
            </w:pPr>
            <w:r>
              <w:t>13</w:t>
            </w:r>
          </w:p>
        </w:tc>
      </w:tr>
      <w:tr w:rsidR="004C581E" w:rsidTr="004C581E">
        <w:tc>
          <w:tcPr>
            <w:tcW w:w="0" w:type="auto"/>
          </w:tcPr>
          <w:p w:rsidR="004C581E" w:rsidRDefault="004C581E" w:rsidP="00B0695D">
            <w:r>
              <w:t>$50,000 to $99,999</w:t>
            </w:r>
          </w:p>
        </w:tc>
        <w:tc>
          <w:tcPr>
            <w:tcW w:w="0" w:type="auto"/>
          </w:tcPr>
          <w:p w:rsidR="004C581E" w:rsidRDefault="004C581E" w:rsidP="004C581E">
            <w:pPr>
              <w:jc w:val="right"/>
            </w:pPr>
            <w:r>
              <w:t>28</w:t>
            </w:r>
          </w:p>
        </w:tc>
      </w:tr>
      <w:tr w:rsidR="004C581E" w:rsidTr="004C581E">
        <w:tc>
          <w:tcPr>
            <w:tcW w:w="0" w:type="auto"/>
          </w:tcPr>
          <w:p w:rsidR="004C581E" w:rsidRDefault="004C581E" w:rsidP="00B0695D">
            <w:r>
              <w:t>$100,000 to $249,999</w:t>
            </w:r>
          </w:p>
        </w:tc>
        <w:tc>
          <w:tcPr>
            <w:tcW w:w="0" w:type="auto"/>
          </w:tcPr>
          <w:p w:rsidR="004C581E" w:rsidRDefault="004C581E" w:rsidP="004C581E">
            <w:pPr>
              <w:jc w:val="right"/>
            </w:pPr>
            <w:r>
              <w:t>29</w:t>
            </w:r>
          </w:p>
        </w:tc>
      </w:tr>
      <w:tr w:rsidR="004C581E" w:rsidTr="004C581E">
        <w:tc>
          <w:tcPr>
            <w:tcW w:w="0" w:type="auto"/>
          </w:tcPr>
          <w:p w:rsidR="004C581E" w:rsidRDefault="004C581E" w:rsidP="00B0695D">
            <w:r>
              <w:t>$250,000 to $499,999</w:t>
            </w:r>
          </w:p>
        </w:tc>
        <w:tc>
          <w:tcPr>
            <w:tcW w:w="0" w:type="auto"/>
          </w:tcPr>
          <w:p w:rsidR="004C581E" w:rsidRDefault="004C581E" w:rsidP="004C581E">
            <w:pPr>
              <w:jc w:val="right"/>
            </w:pPr>
            <w:r>
              <w:t>9</w:t>
            </w:r>
          </w:p>
        </w:tc>
      </w:tr>
      <w:tr w:rsidR="004C581E" w:rsidTr="004C581E">
        <w:tc>
          <w:tcPr>
            <w:tcW w:w="0" w:type="auto"/>
          </w:tcPr>
          <w:p w:rsidR="004C581E" w:rsidRDefault="004C581E" w:rsidP="00B0695D">
            <w:r>
              <w:t>$500,000 or more</w:t>
            </w:r>
          </w:p>
        </w:tc>
        <w:tc>
          <w:tcPr>
            <w:tcW w:w="0" w:type="auto"/>
          </w:tcPr>
          <w:p w:rsidR="004C581E" w:rsidRDefault="004C581E" w:rsidP="004C581E">
            <w:pPr>
              <w:jc w:val="right"/>
            </w:pPr>
            <w:r>
              <w:t>19</w:t>
            </w:r>
          </w:p>
        </w:tc>
      </w:tr>
    </w:tbl>
    <w:p w:rsidR="00DB60AC" w:rsidRDefault="00DB60AC" w:rsidP="00B0695D"/>
    <w:p w:rsidR="007E1281" w:rsidRDefault="00B0695D" w:rsidP="0034351A">
      <w:pPr>
        <w:pStyle w:val="Heading2"/>
        <w:keepNext/>
        <w:spacing w:before="60" w:afterLines="60"/>
        <w:rPr>
          <w:sz w:val="22"/>
        </w:rPr>
      </w:pPr>
      <w:r w:rsidRPr="00E31BFB">
        <w:rPr>
          <w:sz w:val="22"/>
        </w:rPr>
        <w:t xml:space="preserve">relevant studies and planning processes </w:t>
      </w:r>
    </w:p>
    <w:p w:rsidR="00991C1D" w:rsidRDefault="00991C1D" w:rsidP="00991C1D">
      <w:r>
        <w:t>A variety of state, regional</w:t>
      </w:r>
      <w:r w:rsidR="00236F3D">
        <w:t>,</w:t>
      </w:r>
      <w:r>
        <w:t xml:space="preserve"> and local plans and policies are relevant to planning </w:t>
      </w:r>
      <w:r w:rsidR="000B0DC3">
        <w:t>for</w:t>
      </w:r>
      <w:r w:rsidR="00236F3D">
        <w:t xml:space="preserve"> </w:t>
      </w:r>
      <w:r>
        <w:t>Multnomah County</w:t>
      </w:r>
      <w:r w:rsidR="002C1637">
        <w:t>’</w:t>
      </w:r>
      <w:r w:rsidR="0034351A">
        <w:t>s</w:t>
      </w:r>
      <w:r w:rsidR="002C1637">
        <w:t xml:space="preserve"> rural economy</w:t>
      </w:r>
      <w:r>
        <w:t>, including the following.</w:t>
      </w:r>
      <w:r w:rsidR="00236F3D">
        <w:t xml:space="preserve"> </w:t>
      </w:r>
    </w:p>
    <w:p w:rsidR="00326093" w:rsidRDefault="00326093" w:rsidP="00326093">
      <w:r>
        <w:t xml:space="preserve">Oregon’s </w:t>
      </w:r>
      <w:r w:rsidRPr="00820EBA">
        <w:rPr>
          <w:b/>
        </w:rPr>
        <w:t>Statewide Planning Goals</w:t>
      </w:r>
      <w:r>
        <w:t xml:space="preserve"> provide comprehensive policy direction for local governments to follow. Goal 9,</w:t>
      </w:r>
      <w:r w:rsidR="00E10C81">
        <w:t xml:space="preserve"> Economic Development</w:t>
      </w:r>
      <w:r>
        <w:t xml:space="preserve">, calls for diversification and improvement of the economy. </w:t>
      </w:r>
      <w:r w:rsidR="009917F1">
        <w:t xml:space="preserve">Most Goal 9 requirements focus on identifying and planning for economic opportunities in urban areas; for rural areas, requirements are relatively limited. </w:t>
      </w:r>
    </w:p>
    <w:p w:rsidR="008969F2" w:rsidRDefault="006F3C4E" w:rsidP="006F3C4E">
      <w:r w:rsidRPr="00820EBA">
        <w:rPr>
          <w:b/>
        </w:rPr>
        <w:t xml:space="preserve">Multnomah County’s </w:t>
      </w:r>
      <w:r w:rsidR="00E10C81">
        <w:rPr>
          <w:b/>
        </w:rPr>
        <w:t>Zoning</w:t>
      </w:r>
      <w:r w:rsidRPr="00820EBA">
        <w:rPr>
          <w:b/>
        </w:rPr>
        <w:t xml:space="preserve"> Code</w:t>
      </w:r>
      <w:r w:rsidRPr="00820EBA">
        <w:t xml:space="preserve"> is organized by rural and urban subareas</w:t>
      </w:r>
      <w:r w:rsidR="000A74C3">
        <w:t>,</w:t>
      </w:r>
      <w:r w:rsidR="00E10C81">
        <w:t xml:space="preserve"> overall administrative procedures, and</w:t>
      </w:r>
      <w:r w:rsidRPr="00820EBA">
        <w:t xml:space="preserve"> general building regulations. The rural and urban subareas (Rural Zoning Code and Urban Zoning Code) contain detailed descriptions of zoning districts and specif</w:t>
      </w:r>
      <w:r w:rsidR="00E10C81">
        <w:t>y</w:t>
      </w:r>
      <w:r w:rsidRPr="00820EBA">
        <w:t xml:space="preserve"> what uses are allowed</w:t>
      </w:r>
      <w:r w:rsidR="00E10C81">
        <w:t xml:space="preserve"> outright or</w:t>
      </w:r>
      <w:r w:rsidRPr="00820EBA">
        <w:t xml:space="preserve"> conditional</w:t>
      </w:r>
      <w:r w:rsidR="00E10C81">
        <w:t>ly</w:t>
      </w:r>
      <w:r w:rsidRPr="00820EBA">
        <w:t xml:space="preserve"> in each zone. In addition, the codes contain procedures for various land use issues, including design review, variances</w:t>
      </w:r>
      <w:r w:rsidR="00236F3D">
        <w:t>,</w:t>
      </w:r>
      <w:r w:rsidRPr="00820EBA">
        <w:t xml:space="preserve"> and land divisions. </w:t>
      </w:r>
      <w:r w:rsidR="0001433D">
        <w:t xml:space="preserve">The administrative procedures are the processes and procedures by which the County reviews and decides upon applications for all permits relating to the use of land. </w:t>
      </w:r>
      <w:r w:rsidRPr="00820EBA">
        <w:t xml:space="preserve">The building </w:t>
      </w:r>
      <w:proofErr w:type="gramStart"/>
      <w:r w:rsidRPr="00820EBA">
        <w:t>regulations, applicable to most unincorporated areas, includes</w:t>
      </w:r>
      <w:proofErr w:type="gramEnd"/>
      <w:r w:rsidRPr="00820EBA">
        <w:t xml:space="preserve"> permit processes for electrical, plumbing, and grading, as well as street standards.</w:t>
      </w:r>
    </w:p>
    <w:p w:rsidR="008969F2" w:rsidRPr="00820EBA" w:rsidRDefault="008969F2" w:rsidP="008969F2">
      <w:r>
        <w:t xml:space="preserve">The state </w:t>
      </w:r>
      <w:r w:rsidRPr="008969F2">
        <w:rPr>
          <w:b/>
        </w:rPr>
        <w:t>Unincorporated Communities Rule</w:t>
      </w:r>
      <w:r>
        <w:t xml:space="preserve"> prescribes what type of commercial, retail</w:t>
      </w:r>
      <w:r w:rsidR="00236F3D">
        <w:t>,</w:t>
      </w:r>
      <w:r>
        <w:t xml:space="preserve"> and industrial development can be allowed within unincorporated communities and other rural areas, including limits on the size of individual uses and the area they can serve.</w:t>
      </w:r>
    </w:p>
    <w:p w:rsidR="000B0DC3" w:rsidRDefault="000B0DC3" w:rsidP="00A17BC8"/>
    <w:p w:rsidR="007E1281" w:rsidRDefault="00B0695D" w:rsidP="0034351A">
      <w:pPr>
        <w:pStyle w:val="Heading2"/>
        <w:spacing w:before="60" w:afterLines="60"/>
        <w:rPr>
          <w:sz w:val="22"/>
        </w:rPr>
      </w:pPr>
      <w:r w:rsidRPr="00E31BFB">
        <w:rPr>
          <w:sz w:val="22"/>
        </w:rPr>
        <w:t>key planning issues and supporting information</w:t>
      </w:r>
    </w:p>
    <w:p w:rsidR="005948D6" w:rsidRDefault="005948D6" w:rsidP="005948D6">
      <w:r>
        <w:t xml:space="preserve">A number of key planning issues affect </w:t>
      </w:r>
      <w:r w:rsidR="00694620">
        <w:t>economic</w:t>
      </w:r>
      <w:r>
        <w:t xml:space="preserve"> planning policies and practices in the rural portions of Multnomah Co</w:t>
      </w:r>
      <w:r w:rsidR="0034351A">
        <w:t>unty.</w:t>
      </w:r>
      <w:r w:rsidR="00E31BFB">
        <w:t xml:space="preserve"> </w:t>
      </w:r>
    </w:p>
    <w:p w:rsidR="00B0695D" w:rsidRPr="00631F7F" w:rsidRDefault="00F958A8" w:rsidP="00631F7F">
      <w:pPr>
        <w:pStyle w:val="ListParagraph"/>
        <w:numPr>
          <w:ilvl w:val="0"/>
          <w:numId w:val="8"/>
        </w:numPr>
      </w:pPr>
      <w:r>
        <w:rPr>
          <w:b/>
        </w:rPr>
        <w:t>Farm and forest land policies</w:t>
      </w:r>
      <w:r w:rsidR="00DE26D5">
        <w:t>.</w:t>
      </w:r>
      <w:r w:rsidR="00236F3D">
        <w:t xml:space="preserve"> </w:t>
      </w:r>
      <w:r w:rsidR="00694620">
        <w:t>One of the primary intentions of the policies found in Chapters 3 and 4 of this Plan (Farm and Forest lands)</w:t>
      </w:r>
      <w:r w:rsidR="003E0C6D">
        <w:t xml:space="preserve"> is</w:t>
      </w:r>
      <w:r w:rsidR="00694620">
        <w:t xml:space="preserve"> to promote agricultural and forest production activities which enhance the rural economy of Multnomah County</w:t>
      </w:r>
      <w:r w:rsidR="004C3677">
        <w:t>.</w:t>
      </w:r>
      <w:r w:rsidR="00236F3D">
        <w:t xml:space="preserve"> </w:t>
      </w:r>
      <w:r w:rsidR="00694620">
        <w:t xml:space="preserve">Policies related to farm stands, </w:t>
      </w:r>
      <w:proofErr w:type="spellStart"/>
      <w:r w:rsidR="00694620">
        <w:t>agri</w:t>
      </w:r>
      <w:proofErr w:type="spellEnd"/>
      <w:r w:rsidR="00694620">
        <w:t>-tourism</w:t>
      </w:r>
      <w:r w:rsidR="00236F3D">
        <w:t>,</w:t>
      </w:r>
      <w:r w:rsidR="00694620">
        <w:t xml:space="preserve"> and wineries also support the area’s rural economy while also addressing potential impacts of those uses </w:t>
      </w:r>
      <w:r w:rsidR="003E0C6D">
        <w:t xml:space="preserve">and activities </w:t>
      </w:r>
      <w:r w:rsidR="00694620">
        <w:t xml:space="preserve">on surrounding </w:t>
      </w:r>
      <w:r w:rsidR="001236CF">
        <w:t>properties</w:t>
      </w:r>
      <w:r w:rsidR="00694620">
        <w:t>, residents</w:t>
      </w:r>
      <w:r w:rsidR="00236F3D">
        <w:t>,</w:t>
      </w:r>
      <w:r w:rsidR="00694620">
        <w:t xml:space="preserve"> and farming and forestry operations.</w:t>
      </w:r>
    </w:p>
    <w:p w:rsidR="00447298" w:rsidRDefault="00F958A8" w:rsidP="005948D6">
      <w:pPr>
        <w:pStyle w:val="ListParagraph"/>
        <w:numPr>
          <w:ilvl w:val="0"/>
          <w:numId w:val="8"/>
        </w:numPr>
      </w:pPr>
      <w:r>
        <w:rPr>
          <w:b/>
        </w:rPr>
        <w:t>Rural centers land use</w:t>
      </w:r>
      <w:r w:rsidR="00447298">
        <w:t>.</w:t>
      </w:r>
      <w:r w:rsidR="00236F3D">
        <w:t xml:space="preserve"> </w:t>
      </w:r>
      <w:r w:rsidR="00694620">
        <w:t>Designated rural centers are the primary location for non-resource based economic activity in the County.</w:t>
      </w:r>
      <w:r w:rsidR="00236F3D">
        <w:t xml:space="preserve"> </w:t>
      </w:r>
      <w:r w:rsidR="00694620">
        <w:t>Policies associated with rural centers found in Chapter 2 of this Plan guide and support development of commercial</w:t>
      </w:r>
      <w:r w:rsidR="00252A0F">
        <w:t xml:space="preserve"> retail</w:t>
      </w:r>
      <w:r w:rsidR="00694620">
        <w:t>,</w:t>
      </w:r>
      <w:r w:rsidR="00C33CB0">
        <w:t xml:space="preserve"> service</w:t>
      </w:r>
      <w:r w:rsidR="00252A0F">
        <w:t>,</w:t>
      </w:r>
      <w:r w:rsidR="00694620">
        <w:t xml:space="preserve"> office</w:t>
      </w:r>
      <w:r w:rsidR="00236F3D">
        <w:t>,</w:t>
      </w:r>
      <w:r w:rsidR="00694620">
        <w:t xml:space="preserve"> and industrial uses in these areas, including promoting re-use of existing buildings and providing </w:t>
      </w:r>
      <w:r w:rsidR="00252A0F">
        <w:t>job</w:t>
      </w:r>
      <w:r w:rsidR="00FE2FF7">
        <w:t>s</w:t>
      </w:r>
      <w:r w:rsidR="00694620">
        <w:t xml:space="preserve"> and shopping opportunities for people within </w:t>
      </w:r>
      <w:r w:rsidR="00257E81">
        <w:t xml:space="preserve">the </w:t>
      </w:r>
      <w:r w:rsidR="002C1637">
        <w:t>C</w:t>
      </w:r>
      <w:r w:rsidR="00257E81">
        <w:t xml:space="preserve">ounty’s </w:t>
      </w:r>
      <w:r w:rsidR="00694620">
        <w:t>rural centers</w:t>
      </w:r>
      <w:r w:rsidR="00257E81">
        <w:t xml:space="preserve"> and surrounding rural areas</w:t>
      </w:r>
      <w:r w:rsidR="00694620">
        <w:t>.</w:t>
      </w:r>
    </w:p>
    <w:p w:rsidR="000B0DC3" w:rsidRDefault="00F958A8" w:rsidP="005948D6">
      <w:pPr>
        <w:pStyle w:val="ListParagraph"/>
        <w:numPr>
          <w:ilvl w:val="0"/>
          <w:numId w:val="8"/>
        </w:numPr>
      </w:pPr>
      <w:r>
        <w:rPr>
          <w:b/>
        </w:rPr>
        <w:lastRenderedPageBreak/>
        <w:t>Home occupations</w:t>
      </w:r>
      <w:r w:rsidR="000B0DC3" w:rsidRPr="000B0DC3">
        <w:t>.</w:t>
      </w:r>
      <w:r w:rsidR="00236F3D">
        <w:t xml:space="preserve"> </w:t>
      </w:r>
      <w:r w:rsidR="00694620">
        <w:t>There is broad citizen support for the ability to work in home-based occupations in the rural areas of the County.</w:t>
      </w:r>
      <w:r w:rsidR="00236F3D">
        <w:t xml:space="preserve"> </w:t>
      </w:r>
      <w:r w:rsidR="00694620">
        <w:t>State law and the County’s</w:t>
      </w:r>
      <w:r w:rsidR="00FE2FF7">
        <w:t xml:space="preserve"> Zoning</w:t>
      </w:r>
      <w:r w:rsidR="00694620">
        <w:t xml:space="preserve"> Code include provisions allowing for home occupations which are affirmed by policy language in this chapter</w:t>
      </w:r>
      <w:r w:rsidR="002F7BEF">
        <w:t>.</w:t>
      </w:r>
    </w:p>
    <w:p w:rsidR="00E31BFB" w:rsidRDefault="00AC65E0" w:rsidP="00E31BFB">
      <w:pPr>
        <w:pStyle w:val="Heading1"/>
      </w:pPr>
      <w:r>
        <w:t xml:space="preserve">goal, </w:t>
      </w:r>
      <w:r w:rsidR="00E31BFB">
        <w:t>policies and strategies</w:t>
      </w:r>
    </w:p>
    <w:p w:rsidR="00AC65E0" w:rsidRPr="00AC65E0" w:rsidRDefault="00AC65E0" w:rsidP="00AC65E0">
      <w:r w:rsidRPr="00C70F6B">
        <w:rPr>
          <w:b/>
        </w:rPr>
        <w:t>Goal</w:t>
      </w:r>
      <w:r>
        <w:t xml:space="preserve">: </w:t>
      </w:r>
      <w:r w:rsidRPr="00C70F6B">
        <w:t>To support the rural economy of the County, including farm and forest production, as well as commercial, industrial, office</w:t>
      </w:r>
      <w:r w:rsidR="00236F3D">
        <w:t>,</w:t>
      </w:r>
      <w:r w:rsidRPr="00C70F6B">
        <w:t xml:space="preserve"> and retail activities; to do so consistent with available infrastructure and resources, in compatibility with other land uses, and in compliance with state and local goals and laws</w:t>
      </w:r>
      <w:r>
        <w:t>.</w:t>
      </w:r>
    </w:p>
    <w:p w:rsidR="007E1281" w:rsidRDefault="00B0695D" w:rsidP="0034351A">
      <w:pPr>
        <w:pStyle w:val="Heading2"/>
        <w:spacing w:before="60" w:afterLines="60"/>
        <w:rPr>
          <w:sz w:val="22"/>
        </w:rPr>
      </w:pPr>
      <w:r w:rsidRPr="00B0695D">
        <w:rPr>
          <w:sz w:val="22"/>
        </w:rPr>
        <w:t xml:space="preserve">policies </w:t>
      </w:r>
      <w:r>
        <w:rPr>
          <w:sz w:val="22"/>
        </w:rPr>
        <w:t xml:space="preserve">and strategies </w:t>
      </w:r>
      <w:r w:rsidRPr="00B0695D">
        <w:rPr>
          <w:sz w:val="22"/>
        </w:rPr>
        <w:t>applicable County-wide</w:t>
      </w:r>
    </w:p>
    <w:p w:rsidR="00A8606F" w:rsidRDefault="00694620" w:rsidP="00A8606F">
      <w:r>
        <w:t>The policies in this section focus on broad support for economic activity within the County, as well as for agri</w:t>
      </w:r>
      <w:r w:rsidR="00236F3D">
        <w:t>culture and forestry operations,</w:t>
      </w:r>
      <w:r>
        <w:t xml:space="preserve"> economic activity within rural centers or other areas</w:t>
      </w:r>
      <w:r w:rsidR="00195579">
        <w:t xml:space="preserve"> allowing</w:t>
      </w:r>
      <w:r>
        <w:t xml:space="preserve"> commercial, office</w:t>
      </w:r>
      <w:r w:rsidR="00236F3D">
        <w:t>,</w:t>
      </w:r>
      <w:r>
        <w:t xml:space="preserve"> or industrial uses</w:t>
      </w:r>
      <w:r w:rsidR="00236F3D">
        <w:t>,</w:t>
      </w:r>
      <w:r>
        <w:t xml:space="preserve"> and for home occupations.</w:t>
      </w:r>
      <w:r w:rsidR="00236F3D">
        <w:t xml:space="preserve"> </w:t>
      </w:r>
    </w:p>
    <w:p w:rsidR="000A1080" w:rsidRPr="00D06A8A" w:rsidRDefault="000A1080" w:rsidP="000A1080">
      <w:pPr>
        <w:pStyle w:val="ListParagraph"/>
        <w:numPr>
          <w:ilvl w:val="1"/>
          <w:numId w:val="23"/>
        </w:numPr>
      </w:pPr>
      <w:r w:rsidRPr="00D06A8A">
        <w:t xml:space="preserve">Prioritize and encourage economic development investments and projects that are consistent with the Comprehensive Plan. </w:t>
      </w:r>
    </w:p>
    <w:p w:rsidR="001D525A" w:rsidRPr="00D06A8A" w:rsidRDefault="001D525A" w:rsidP="00D06A8A">
      <w:pPr>
        <w:pStyle w:val="ListParagraph"/>
        <w:numPr>
          <w:ilvl w:val="1"/>
          <w:numId w:val="23"/>
        </w:numPr>
      </w:pPr>
      <w:r w:rsidRPr="00D06A8A">
        <w:t>Encourage the retention and creation of employment opportunities</w:t>
      </w:r>
      <w:r w:rsidR="00352E77">
        <w:t xml:space="preserve"> </w:t>
      </w:r>
      <w:r w:rsidRPr="00D06A8A">
        <w:t xml:space="preserve">and economic development projects </w:t>
      </w:r>
      <w:r w:rsidR="00352E77">
        <w:t xml:space="preserve">that require a skilled work force and generate family wage jobs, and that </w:t>
      </w:r>
      <w:r w:rsidRPr="00D06A8A">
        <w:t>meet the needs of business, industry, and the comm</w:t>
      </w:r>
      <w:r w:rsidR="00C668F2" w:rsidRPr="00D06A8A">
        <w:t>unity.</w:t>
      </w:r>
    </w:p>
    <w:p w:rsidR="001D525A" w:rsidRPr="00D06A8A" w:rsidRDefault="001D525A" w:rsidP="00D06A8A">
      <w:pPr>
        <w:pStyle w:val="ListParagraph"/>
        <w:numPr>
          <w:ilvl w:val="1"/>
          <w:numId w:val="23"/>
        </w:numPr>
      </w:pPr>
      <w:r w:rsidRPr="00D06A8A">
        <w:t xml:space="preserve">Direct economic development public expenditures and capital improvements projects into designated </w:t>
      </w:r>
      <w:r w:rsidR="00092249" w:rsidRPr="00D06A8A">
        <w:t>rural centers</w:t>
      </w:r>
      <w:r w:rsidRPr="00D06A8A">
        <w:t xml:space="preserve"> which support the timely, orderly</w:t>
      </w:r>
      <w:r w:rsidR="00236F3D" w:rsidRPr="00D06A8A">
        <w:t>,</w:t>
      </w:r>
      <w:r w:rsidRPr="00D06A8A">
        <w:t xml:space="preserve"> and efficient growth and development of these cente</w:t>
      </w:r>
      <w:r w:rsidR="00C668F2" w:rsidRPr="00D06A8A">
        <w:t>rs.</w:t>
      </w:r>
    </w:p>
    <w:p w:rsidR="001D525A" w:rsidRPr="00D06A8A" w:rsidRDefault="001D525A" w:rsidP="00D06A8A">
      <w:pPr>
        <w:pStyle w:val="ListParagraph"/>
        <w:numPr>
          <w:ilvl w:val="1"/>
          <w:numId w:val="23"/>
        </w:numPr>
      </w:pPr>
      <w:r w:rsidRPr="00D06A8A">
        <w:t>Support economic development investments and land use actions which will:</w:t>
      </w:r>
    </w:p>
    <w:p w:rsidR="000A1080" w:rsidRPr="00D06A8A" w:rsidRDefault="000A1080" w:rsidP="000A1080">
      <w:pPr>
        <w:pStyle w:val="ListParagraph"/>
        <w:numPr>
          <w:ilvl w:val="0"/>
          <w:numId w:val="24"/>
        </w:numPr>
      </w:pPr>
      <w:r w:rsidRPr="00D06A8A">
        <w:t xml:space="preserve">Promote agriculture and timber production as economic drivers; </w:t>
      </w:r>
    </w:p>
    <w:p w:rsidR="001D525A" w:rsidRPr="00D06A8A" w:rsidRDefault="001D525A" w:rsidP="00352E77">
      <w:pPr>
        <w:pStyle w:val="ListParagraph"/>
        <w:numPr>
          <w:ilvl w:val="0"/>
          <w:numId w:val="24"/>
        </w:numPr>
      </w:pPr>
      <w:r w:rsidRPr="00D06A8A">
        <w:t xml:space="preserve">Maximize the use of developable </w:t>
      </w:r>
      <w:r w:rsidR="00087A2A" w:rsidRPr="00D06A8A">
        <w:t xml:space="preserve">sites zoned for </w:t>
      </w:r>
      <w:r w:rsidRPr="00D06A8A">
        <w:t>commercial and industrial</w:t>
      </w:r>
      <w:r w:rsidR="004A64E2" w:rsidRPr="00D06A8A">
        <w:t xml:space="preserve"> uses</w:t>
      </w:r>
      <w:r w:rsidRPr="00D06A8A">
        <w:t xml:space="preserve">; </w:t>
      </w:r>
    </w:p>
    <w:p w:rsidR="001D525A" w:rsidRPr="00D06A8A" w:rsidRDefault="001D525A" w:rsidP="00352E77">
      <w:pPr>
        <w:pStyle w:val="ListParagraph"/>
        <w:numPr>
          <w:ilvl w:val="0"/>
          <w:numId w:val="24"/>
        </w:numPr>
      </w:pPr>
      <w:r w:rsidRPr="00D06A8A">
        <w:t>Recognize the importance of home occupations as a valid employment option for County residents.</w:t>
      </w:r>
    </w:p>
    <w:p w:rsidR="001D525A" w:rsidRPr="00D06A8A" w:rsidRDefault="001D525A" w:rsidP="00674F21">
      <w:pPr>
        <w:pStyle w:val="ListParagraph"/>
        <w:numPr>
          <w:ilvl w:val="1"/>
          <w:numId w:val="23"/>
        </w:numPr>
      </w:pPr>
      <w:r w:rsidRPr="00D06A8A">
        <w:t>Actively support community-based economic revitalization and development efforts which create employment opportunities, generate business investment capital, and improve the attractiveness and marketability of commer</w:t>
      </w:r>
      <w:r w:rsidR="00C668F2" w:rsidRPr="00D06A8A">
        <w:t xml:space="preserve">cial and industrial </w:t>
      </w:r>
      <w:r w:rsidR="004A64E2" w:rsidRPr="00D06A8A">
        <w:t>sites</w:t>
      </w:r>
      <w:r w:rsidR="00C668F2" w:rsidRPr="00D06A8A">
        <w:t>.</w:t>
      </w:r>
    </w:p>
    <w:p w:rsidR="001D525A" w:rsidRPr="00D06A8A" w:rsidRDefault="00C668F2" w:rsidP="00D06A8A">
      <w:pPr>
        <w:pStyle w:val="ListParagraph"/>
        <w:numPr>
          <w:ilvl w:val="1"/>
          <w:numId w:val="23"/>
        </w:numPr>
      </w:pPr>
      <w:r w:rsidRPr="00D06A8A">
        <w:t xml:space="preserve">Encourage </w:t>
      </w:r>
      <w:r w:rsidR="001D525A" w:rsidRPr="00D06A8A">
        <w:t xml:space="preserve">agricultural and timber processing industries which will improve the economic viability of farm and forest production within the County. The location of these </w:t>
      </w:r>
      <w:r w:rsidR="00AB3EA9">
        <w:t>processing facilities</w:t>
      </w:r>
      <w:r w:rsidR="001D525A" w:rsidRPr="00D06A8A">
        <w:t xml:space="preserve"> must be carefully balanced with the protection of </w:t>
      </w:r>
      <w:r w:rsidR="00AB3EA9">
        <w:t xml:space="preserve">agricultural and timber production </w:t>
      </w:r>
      <w:r w:rsidR="001D525A" w:rsidRPr="00D06A8A">
        <w:t>outside the urban growth boundaries.</w:t>
      </w:r>
    </w:p>
    <w:p w:rsidR="0090333E" w:rsidRPr="00D06A8A" w:rsidRDefault="0090333E" w:rsidP="00D06A8A">
      <w:pPr>
        <w:pStyle w:val="ListParagraph"/>
        <w:numPr>
          <w:ilvl w:val="1"/>
          <w:numId w:val="23"/>
        </w:numPr>
      </w:pPr>
      <w:r w:rsidRPr="00D06A8A">
        <w:lastRenderedPageBreak/>
        <w:t>Recognize the importance of river transportation to the regional transportation system and to the local and state economy and encourage the continued maintenance of</w:t>
      </w:r>
      <w:r w:rsidR="00D67355">
        <w:t>, and access to,</w:t>
      </w:r>
      <w:r w:rsidRPr="00D06A8A">
        <w:t xml:space="preserve"> shipping channels in support of the movement of goods.</w:t>
      </w:r>
    </w:p>
    <w:p w:rsidR="005857AA" w:rsidRPr="00D06A8A" w:rsidRDefault="005857AA" w:rsidP="00D06A8A">
      <w:pPr>
        <w:pStyle w:val="ListParagraph"/>
        <w:numPr>
          <w:ilvl w:val="1"/>
          <w:numId w:val="23"/>
        </w:numPr>
      </w:pPr>
      <w:r w:rsidRPr="00D06A8A">
        <w:t>Allow for home occupations wherever dwellings are permitted in order to assist in developing new business opportunities and to increase convenience to residents, while considering and minimizing impacts on adjacent land uses.</w:t>
      </w:r>
    </w:p>
    <w:p w:rsidR="00B0695D" w:rsidRPr="00B0695D" w:rsidRDefault="00B0695D" w:rsidP="00B0695D">
      <w:pPr>
        <w:pStyle w:val="Heading2"/>
        <w:rPr>
          <w:sz w:val="22"/>
        </w:rPr>
      </w:pPr>
      <w:r w:rsidRPr="00B0695D">
        <w:rPr>
          <w:sz w:val="22"/>
        </w:rPr>
        <w:t>policies and strategies</w:t>
      </w:r>
      <w:r w:rsidR="00B06088">
        <w:rPr>
          <w:sz w:val="22"/>
        </w:rPr>
        <w:t xml:space="preserve"> applicable to individual rural planning areas</w:t>
      </w:r>
    </w:p>
    <w:p w:rsidR="005948D6" w:rsidRPr="005948D6" w:rsidRDefault="00011A08" w:rsidP="005948D6">
      <w:pPr>
        <w:rPr>
          <w:i/>
        </w:rPr>
      </w:pPr>
      <w:r>
        <w:rPr>
          <w:i/>
        </w:rPr>
        <w:t xml:space="preserve">There are no </w:t>
      </w:r>
      <w:r w:rsidR="008F4153">
        <w:rPr>
          <w:i/>
        </w:rPr>
        <w:t>rural economy</w:t>
      </w:r>
      <w:r>
        <w:rPr>
          <w:i/>
        </w:rPr>
        <w:t xml:space="preserve"> policies specific to </w:t>
      </w:r>
      <w:r w:rsidR="00B06088">
        <w:rPr>
          <w:i/>
        </w:rPr>
        <w:t>individual Rural Planning Areas</w:t>
      </w:r>
      <w:r w:rsidR="005948D6" w:rsidRPr="005948D6">
        <w:rPr>
          <w:i/>
        </w:rPr>
        <w:t>.</w:t>
      </w:r>
    </w:p>
    <w:sectPr w:rsidR="005948D6" w:rsidRPr="005948D6" w:rsidSect="00853925">
      <w:footerReference w:type="default" r:id="rId9"/>
      <w:headerReference w:type="first" r:id="rId10"/>
      <w:footerReference w:type="first" r:id="rId11"/>
      <w:pgSz w:w="12240" w:h="15840" w:code="1"/>
      <w:pgMar w:top="1440" w:right="1440" w:bottom="1440" w:left="1440" w:header="72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D1B" w:rsidRDefault="00833D1B" w:rsidP="00F9165A">
      <w:pPr>
        <w:spacing w:after="0" w:line="240" w:lineRule="auto"/>
      </w:pPr>
      <w:r>
        <w:separator/>
      </w:r>
    </w:p>
  </w:endnote>
  <w:endnote w:type="continuationSeparator" w:id="0">
    <w:p w:rsidR="00833D1B" w:rsidRDefault="00833D1B" w:rsidP="00F9165A">
      <w:pPr>
        <w:spacing w:after="0" w:line="240" w:lineRule="auto"/>
      </w:pPr>
      <w:r>
        <w:continuationSeparator/>
      </w:r>
    </w:p>
  </w:endnote>
  <w:endnote w:type="continuationNotice" w:id="1">
    <w:p w:rsidR="00833D1B" w:rsidRDefault="00833D1B">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7" w:rsidRPr="002627F8" w:rsidRDefault="000F2C29" w:rsidP="00973A22">
    <w:pPr>
      <w:pStyle w:val="Subtitle"/>
      <w:tabs>
        <w:tab w:val="right" w:pos="9360"/>
      </w:tabs>
    </w:pPr>
    <w:sdt>
      <w:sdtPr>
        <w:id w:val="-1358267657"/>
        <w:docPartObj>
          <w:docPartGallery w:val="Page Numbers (Bottom of Page)"/>
          <w:docPartUnique/>
        </w:docPartObj>
      </w:sdtPr>
      <w:sdtEndPr>
        <w:rPr>
          <w:noProof/>
        </w:rPr>
      </w:sdtEndPr>
      <w:sdtContent>
        <w:r w:rsidR="002C1637">
          <w:rPr>
            <w:i/>
          </w:rPr>
          <w:t xml:space="preserve">Chapter </w:t>
        </w:r>
        <w:r w:rsidR="002C1637">
          <w:t>9 Rural Economy</w:t>
        </w:r>
        <w:r w:rsidR="002C1637">
          <w:rPr>
            <w:i/>
          </w:rPr>
          <w:tab/>
        </w:r>
        <w:r w:rsidR="002C1637">
          <w:t xml:space="preserve"> </w:t>
        </w:r>
        <w:r w:rsidR="002C1637" w:rsidRPr="002627F8">
          <w:t>P</w:t>
        </w:r>
        <w:r w:rsidR="002C1637" w:rsidRPr="002627F8">
          <w:rPr>
            <w:noProof/>
          </w:rPr>
          <w:t xml:space="preserve">age </w:t>
        </w:r>
        <w:r w:rsidRPr="002627F8">
          <w:rPr>
            <w:noProof/>
          </w:rPr>
          <w:fldChar w:fldCharType="begin"/>
        </w:r>
        <w:r w:rsidR="002C1637" w:rsidRPr="002627F8">
          <w:rPr>
            <w:noProof/>
          </w:rPr>
          <w:instrText xml:space="preserve"> PAGE  \* Arabic  \* MERGEFORMAT </w:instrText>
        </w:r>
        <w:r w:rsidRPr="002627F8">
          <w:rPr>
            <w:noProof/>
          </w:rPr>
          <w:fldChar w:fldCharType="separate"/>
        </w:r>
        <w:r w:rsidR="00557190">
          <w:rPr>
            <w:noProof/>
          </w:rPr>
          <w:t>2</w:t>
        </w:r>
        <w:r w:rsidRPr="002627F8">
          <w:rPr>
            <w:noProof/>
          </w:rPr>
          <w:fldChar w:fldCharType="end"/>
        </w:r>
        <w:r w:rsidR="002C1637" w:rsidRPr="002627F8">
          <w:rPr>
            <w:noProof/>
          </w:rPr>
          <w:t xml:space="preserve"> of </w:t>
        </w:r>
        <w:fldSimple w:instr=" NUMPAGES  \* Arabic  \* MERGEFORMAT ">
          <w:r w:rsidR="00557190">
            <w:rPr>
              <w:noProof/>
            </w:rPr>
            <w:t>5</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7" w:rsidRPr="00F4371C" w:rsidRDefault="000F2C29" w:rsidP="00F4371C">
    <w:pPr>
      <w:pStyle w:val="Subtitle"/>
      <w:jc w:val="right"/>
    </w:pPr>
    <w:sdt>
      <w:sdtPr>
        <w:id w:val="632837404"/>
        <w:docPartObj>
          <w:docPartGallery w:val="Page Numbers (Bottom of Page)"/>
          <w:docPartUnique/>
        </w:docPartObj>
      </w:sdtPr>
      <w:sdtEndPr>
        <w:rPr>
          <w:noProof/>
        </w:rPr>
      </w:sdtEndPr>
      <w:sdtContent>
        <w:r w:rsidR="002C1637" w:rsidRPr="002627F8">
          <w:t>P</w:t>
        </w:r>
        <w:r w:rsidR="002C1637" w:rsidRPr="002627F8">
          <w:rPr>
            <w:noProof/>
          </w:rPr>
          <w:t xml:space="preserve">age </w:t>
        </w:r>
        <w:r w:rsidRPr="002627F8">
          <w:rPr>
            <w:noProof/>
          </w:rPr>
          <w:fldChar w:fldCharType="begin"/>
        </w:r>
        <w:r w:rsidR="002C1637" w:rsidRPr="002627F8">
          <w:rPr>
            <w:noProof/>
          </w:rPr>
          <w:instrText xml:space="preserve"> PAGE  \* Arabic  \* MERGEFORMAT </w:instrText>
        </w:r>
        <w:r w:rsidRPr="002627F8">
          <w:rPr>
            <w:noProof/>
          </w:rPr>
          <w:fldChar w:fldCharType="separate"/>
        </w:r>
        <w:r w:rsidR="00557190">
          <w:rPr>
            <w:noProof/>
          </w:rPr>
          <w:t>1</w:t>
        </w:r>
        <w:r w:rsidRPr="002627F8">
          <w:rPr>
            <w:noProof/>
          </w:rPr>
          <w:fldChar w:fldCharType="end"/>
        </w:r>
        <w:r w:rsidR="002C1637" w:rsidRPr="002627F8">
          <w:rPr>
            <w:noProof/>
          </w:rPr>
          <w:t xml:space="preserve"> of </w:t>
        </w:r>
        <w:fldSimple w:instr=" NUMPAGES  \* Arabic  \* MERGEFORMAT ">
          <w:r w:rsidR="00557190">
            <w:rPr>
              <w:noProof/>
            </w:rPr>
            <w:t>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D1B" w:rsidRDefault="00833D1B" w:rsidP="00F9165A">
      <w:pPr>
        <w:spacing w:after="0" w:line="240" w:lineRule="auto"/>
      </w:pPr>
      <w:r>
        <w:separator/>
      </w:r>
    </w:p>
  </w:footnote>
  <w:footnote w:type="continuationSeparator" w:id="0">
    <w:p w:rsidR="00833D1B" w:rsidRDefault="00833D1B" w:rsidP="00F9165A">
      <w:pPr>
        <w:spacing w:after="0" w:line="240" w:lineRule="auto"/>
      </w:pPr>
      <w:r>
        <w:continuationSeparator/>
      </w:r>
    </w:p>
  </w:footnote>
  <w:footnote w:type="continuationNotice" w:id="1">
    <w:p w:rsidR="00833D1B" w:rsidRDefault="00833D1B">
      <w:pPr>
        <w:spacing w:before="0" w:after="0" w:line="240" w:lineRule="auto"/>
      </w:pPr>
    </w:p>
  </w:footnote>
  <w:footnote w:id="2">
    <w:p w:rsidR="00D06A8A" w:rsidRDefault="00D06A8A">
      <w:pPr>
        <w:pStyle w:val="FootnoteText"/>
      </w:pPr>
      <w:r>
        <w:rPr>
          <w:rStyle w:val="FootnoteReference"/>
        </w:rPr>
        <w:footnoteRef/>
      </w:r>
      <w:r>
        <w:t xml:space="preserve"> 2012 Census of Agriculture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7" w:rsidRDefault="002C1637" w:rsidP="00221C3B">
    <w:pPr>
      <w:pStyle w:val="Title"/>
      <w:tabs>
        <w:tab w:val="left" w:pos="3705"/>
      </w:tabs>
    </w:pPr>
    <w:r>
      <w:rPr>
        <w:noProof/>
      </w:rPr>
      <w:drawing>
        <wp:anchor distT="0" distB="0" distL="114300" distR="114300" simplePos="0" relativeHeight="251659264" behindDoc="1" locked="0" layoutInCell="1" allowOverlap="1">
          <wp:simplePos x="0" y="0"/>
          <wp:positionH relativeFrom="column">
            <wp:posOffset>3786505</wp:posOffset>
          </wp:positionH>
          <wp:positionV relativeFrom="paragraph">
            <wp:posOffset>-77865</wp:posOffset>
          </wp:positionV>
          <wp:extent cx="2225615" cy="108846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G-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5615" cy="1088468"/>
                  </a:xfrm>
                  <a:prstGeom prst="rect">
                    <a:avLst/>
                  </a:prstGeom>
                </pic:spPr>
              </pic:pic>
            </a:graphicData>
          </a:graphic>
        </wp:anchor>
      </w:drawing>
    </w:r>
    <w:r>
      <w:t xml:space="preserve">Comp Plan </w:t>
    </w:r>
    <w:r>
      <w:br/>
      <w:t>Chapter 9 Rural Economy Draft Text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D4B"/>
    <w:multiLevelType w:val="hybridMultilevel"/>
    <w:tmpl w:val="6688F0A6"/>
    <w:lvl w:ilvl="0" w:tplc="6718675E">
      <w:start w:val="1"/>
      <w:numFmt w:val="decimal"/>
      <w:lvlText w:val="%1."/>
      <w:lvlJc w:val="left"/>
      <w:pPr>
        <w:ind w:left="1080" w:hanging="720"/>
      </w:pPr>
      <w:rPr>
        <w:rFonts w:hint="default"/>
      </w:rPr>
    </w:lvl>
    <w:lvl w:ilvl="1" w:tplc="C27C97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B2680"/>
    <w:multiLevelType w:val="hybridMultilevel"/>
    <w:tmpl w:val="90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B59E7"/>
    <w:multiLevelType w:val="multilevel"/>
    <w:tmpl w:val="40A679D2"/>
    <w:lvl w:ilvl="0">
      <w:start w:val="9"/>
      <w:numFmt w:val="decimal"/>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suff w:val="space"/>
      <w:lvlText w:val="Policy %1.%2.%3"/>
      <w:lvlJc w:val="left"/>
      <w:pPr>
        <w:ind w:left="360" w:firstLine="0"/>
      </w:pPr>
      <w:rPr>
        <w:rFonts w:hint="default"/>
        <w:b/>
        <w:i w:val="0"/>
      </w:rPr>
    </w:lvl>
    <w:lvl w:ilvl="3">
      <w:start w:val="1"/>
      <w:numFmt w:val="lowerLetter"/>
      <w:lvlText w:val="Policy %1.%2.%3.%4"/>
      <w:lvlJc w:val="left"/>
      <w:pPr>
        <w:ind w:left="360" w:firstLine="0"/>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B9928F5"/>
    <w:multiLevelType w:val="hybridMultilevel"/>
    <w:tmpl w:val="F0A0AF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026D0"/>
    <w:multiLevelType w:val="hybridMultilevel"/>
    <w:tmpl w:val="8C1C8B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650371"/>
    <w:multiLevelType w:val="hybridMultilevel"/>
    <w:tmpl w:val="65D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D562B"/>
    <w:multiLevelType w:val="multilevel"/>
    <w:tmpl w:val="9490DC8A"/>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3733516F"/>
    <w:multiLevelType w:val="multilevel"/>
    <w:tmpl w:val="5DB4269A"/>
    <w:lvl w:ilvl="0">
      <w:start w:val="9"/>
      <w:numFmt w:val="decimal"/>
      <w:lvlText w:val="%1"/>
      <w:lvlJc w:val="left"/>
      <w:pPr>
        <w:ind w:left="432" w:hanging="432"/>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lowerLetter"/>
      <w:suff w:val="space"/>
      <w:lvlText w:val="Policy %1.%2.%3.%4"/>
      <w:lvlJc w:val="left"/>
      <w:pPr>
        <w:ind w:left="360" w:firstLine="0"/>
      </w:pPr>
      <w:rPr>
        <w:rFonts w:hint="default"/>
        <w:b/>
        <w:i w:val="0"/>
      </w:rPr>
    </w:lvl>
    <w:lvl w:ilvl="4">
      <w:start w:val="1"/>
      <w:numFmt w:val="decimal"/>
      <w:lvlText w:val="Stretegy %1.%2.%3.%4%5"/>
      <w:lvlJc w:val="left"/>
      <w:pPr>
        <w:ind w:left="720" w:firstLine="0"/>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8E73ECD"/>
    <w:multiLevelType w:val="hybridMultilevel"/>
    <w:tmpl w:val="E8BAE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03B8E"/>
    <w:multiLevelType w:val="hybridMultilevel"/>
    <w:tmpl w:val="43769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327BF"/>
    <w:multiLevelType w:val="hybridMultilevel"/>
    <w:tmpl w:val="2B2CB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C37AD8"/>
    <w:multiLevelType w:val="hybridMultilevel"/>
    <w:tmpl w:val="FB822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FD46AC"/>
    <w:multiLevelType w:val="hybridMultilevel"/>
    <w:tmpl w:val="4DB0B1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02BBE"/>
    <w:multiLevelType w:val="hybridMultilevel"/>
    <w:tmpl w:val="C9EC1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80895"/>
    <w:multiLevelType w:val="multilevel"/>
    <w:tmpl w:val="FF7C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EF0E33"/>
    <w:multiLevelType w:val="hybridMultilevel"/>
    <w:tmpl w:val="FE50DE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BC34E5"/>
    <w:multiLevelType w:val="hybridMultilevel"/>
    <w:tmpl w:val="9ECEE808"/>
    <w:lvl w:ilvl="0" w:tplc="0409000F">
      <w:start w:val="1"/>
      <w:numFmt w:val="decimal"/>
      <w:lvlText w:val="%1."/>
      <w:lvlJc w:val="left"/>
      <w:pPr>
        <w:ind w:left="720" w:hanging="360"/>
      </w:pPr>
      <w:rPr>
        <w:rFonts w:hint="default"/>
      </w:rPr>
    </w:lvl>
    <w:lvl w:ilvl="1" w:tplc="368AC9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F360A"/>
    <w:multiLevelType w:val="multilevel"/>
    <w:tmpl w:val="5DB4269A"/>
    <w:lvl w:ilvl="0">
      <w:start w:val="9"/>
      <w:numFmt w:val="decimal"/>
      <w:lvlText w:val="%1"/>
      <w:lvlJc w:val="left"/>
      <w:pPr>
        <w:ind w:left="432" w:hanging="432"/>
      </w:pPr>
      <w:rPr>
        <w:rFonts w:hint="default"/>
      </w:rPr>
    </w:lvl>
    <w:lvl w:ilvl="1">
      <w:start w:val="1"/>
      <w:numFmt w:val="decimal"/>
      <w:suff w:val="space"/>
      <w:lvlText w:val="Policy %1.%2"/>
      <w:lvlJc w:val="left"/>
      <w:pPr>
        <w:ind w:left="360" w:firstLine="0"/>
      </w:pPr>
      <w:rPr>
        <w:rFonts w:hint="default"/>
        <w:b/>
        <w:i w:val="0"/>
      </w:rPr>
    </w:lvl>
    <w:lvl w:ilvl="2">
      <w:start w:val="1"/>
      <w:numFmt w:val="decimal"/>
      <w:suff w:val="space"/>
      <w:lvlText w:val="Strategy %1.%2-%3"/>
      <w:lvlJc w:val="left"/>
      <w:pPr>
        <w:ind w:left="720" w:firstLine="0"/>
      </w:pPr>
      <w:rPr>
        <w:rFonts w:hint="default"/>
        <w:b/>
        <w:i w:val="0"/>
      </w:rPr>
    </w:lvl>
    <w:lvl w:ilvl="3">
      <w:start w:val="1"/>
      <w:numFmt w:val="lowerLetter"/>
      <w:suff w:val="space"/>
      <w:lvlText w:val="Policy %1.%2.%3.%4"/>
      <w:lvlJc w:val="left"/>
      <w:pPr>
        <w:ind w:left="360" w:firstLine="0"/>
      </w:pPr>
      <w:rPr>
        <w:rFonts w:hint="default"/>
        <w:b/>
        <w:i w:val="0"/>
      </w:rPr>
    </w:lvl>
    <w:lvl w:ilvl="4">
      <w:start w:val="1"/>
      <w:numFmt w:val="decimal"/>
      <w:lvlText w:val="Stretegy %1.%2.%3.%4%5"/>
      <w:lvlJc w:val="left"/>
      <w:pPr>
        <w:ind w:left="720" w:firstLine="0"/>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A59794D"/>
    <w:multiLevelType w:val="multilevel"/>
    <w:tmpl w:val="EC40E9FE"/>
    <w:lvl w:ilvl="0">
      <w:start w:val="9"/>
      <w:numFmt w:val="decimal"/>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suff w:val="space"/>
      <w:lvlText w:val="Policy %1.%2.%3"/>
      <w:lvlJc w:val="left"/>
      <w:pPr>
        <w:ind w:left="360" w:firstLine="0"/>
      </w:pPr>
      <w:rPr>
        <w:rFonts w:hint="default"/>
        <w:b/>
        <w:i w:val="0"/>
      </w:rPr>
    </w:lvl>
    <w:lvl w:ilvl="3">
      <w:start w:val="1"/>
      <w:numFmt w:val="lowerLetter"/>
      <w:lvlText w:val="Policy %1.%2.%3.%4"/>
      <w:lvlJc w:val="left"/>
      <w:pPr>
        <w:ind w:left="360" w:firstLine="0"/>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B716A7B"/>
    <w:multiLevelType w:val="hybridMultilevel"/>
    <w:tmpl w:val="61A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4"/>
  </w:num>
  <w:num w:numId="5">
    <w:abstractNumId w:val="19"/>
  </w:num>
  <w:num w:numId="6">
    <w:abstractNumId w:val="12"/>
  </w:num>
  <w:num w:numId="7">
    <w:abstractNumId w:val="3"/>
  </w:num>
  <w:num w:numId="8">
    <w:abstractNumId w:val="1"/>
  </w:num>
  <w:num w:numId="9">
    <w:abstractNumId w:val="6"/>
  </w:num>
  <w:num w:numId="10">
    <w:abstractNumId w:val="6"/>
  </w:num>
  <w:num w:numId="11">
    <w:abstractNumId w:val="6"/>
  </w:num>
  <w:num w:numId="12">
    <w:abstractNumId w:val="6"/>
  </w:num>
  <w:num w:numId="13">
    <w:abstractNumId w:val="15"/>
  </w:num>
  <w:num w:numId="14">
    <w:abstractNumId w:val="16"/>
  </w:num>
  <w:num w:numId="15">
    <w:abstractNumId w:val="10"/>
  </w:num>
  <w:num w:numId="16">
    <w:abstractNumId w:val="8"/>
  </w:num>
  <w:num w:numId="17">
    <w:abstractNumId w:val="5"/>
  </w:num>
  <w:num w:numId="18">
    <w:abstractNumId w:val="18"/>
  </w:num>
  <w:num w:numId="19">
    <w:abstractNumId w:val="2"/>
  </w:num>
  <w:num w:numId="20">
    <w:abstractNumId w:val="17"/>
  </w:num>
  <w:num w:numId="21">
    <w:abstractNumId w:val="13"/>
  </w:num>
  <w:num w:numId="22">
    <w:abstractNumId w:val="0"/>
  </w:num>
  <w:num w:numId="23">
    <w:abstractNumId w:val="7"/>
  </w:num>
  <w:num w:numId="2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SortMethod w:val="000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useFELayout/>
  </w:compat>
  <w:rsids>
    <w:rsidRoot w:val="00BC30C4"/>
    <w:rsid w:val="000110D5"/>
    <w:rsid w:val="00011A08"/>
    <w:rsid w:val="000125C0"/>
    <w:rsid w:val="00013552"/>
    <w:rsid w:val="0001433D"/>
    <w:rsid w:val="00015359"/>
    <w:rsid w:val="00017402"/>
    <w:rsid w:val="00020250"/>
    <w:rsid w:val="0002474C"/>
    <w:rsid w:val="0002481E"/>
    <w:rsid w:val="0003055A"/>
    <w:rsid w:val="00030E7A"/>
    <w:rsid w:val="000327D9"/>
    <w:rsid w:val="00037316"/>
    <w:rsid w:val="0004145D"/>
    <w:rsid w:val="00043669"/>
    <w:rsid w:val="0004666E"/>
    <w:rsid w:val="00046B59"/>
    <w:rsid w:val="000516E7"/>
    <w:rsid w:val="00051D83"/>
    <w:rsid w:val="0005252A"/>
    <w:rsid w:val="00053806"/>
    <w:rsid w:val="0005533F"/>
    <w:rsid w:val="00056332"/>
    <w:rsid w:val="000563B8"/>
    <w:rsid w:val="00056B90"/>
    <w:rsid w:val="000669FE"/>
    <w:rsid w:val="000675EC"/>
    <w:rsid w:val="00067C88"/>
    <w:rsid w:val="00071CCA"/>
    <w:rsid w:val="00076C5C"/>
    <w:rsid w:val="000770B8"/>
    <w:rsid w:val="0007798E"/>
    <w:rsid w:val="000827D6"/>
    <w:rsid w:val="00087A2A"/>
    <w:rsid w:val="00087C48"/>
    <w:rsid w:val="00087F68"/>
    <w:rsid w:val="00092249"/>
    <w:rsid w:val="00092F93"/>
    <w:rsid w:val="00095847"/>
    <w:rsid w:val="00095A53"/>
    <w:rsid w:val="000A1080"/>
    <w:rsid w:val="000A28A2"/>
    <w:rsid w:val="000A3F5B"/>
    <w:rsid w:val="000A74C3"/>
    <w:rsid w:val="000B0497"/>
    <w:rsid w:val="000B0DC3"/>
    <w:rsid w:val="000B716E"/>
    <w:rsid w:val="000B7AB2"/>
    <w:rsid w:val="000C1BD8"/>
    <w:rsid w:val="000C5A1B"/>
    <w:rsid w:val="000D1298"/>
    <w:rsid w:val="000E3F25"/>
    <w:rsid w:val="000E6A9D"/>
    <w:rsid w:val="000F2116"/>
    <w:rsid w:val="000F2C29"/>
    <w:rsid w:val="000F3251"/>
    <w:rsid w:val="000F52DD"/>
    <w:rsid w:val="00101631"/>
    <w:rsid w:val="0011445E"/>
    <w:rsid w:val="00115FDF"/>
    <w:rsid w:val="001173BB"/>
    <w:rsid w:val="001226A3"/>
    <w:rsid w:val="001236CF"/>
    <w:rsid w:val="00123C24"/>
    <w:rsid w:val="0012524D"/>
    <w:rsid w:val="001261AB"/>
    <w:rsid w:val="00126711"/>
    <w:rsid w:val="00127FE6"/>
    <w:rsid w:val="00132DCB"/>
    <w:rsid w:val="00132EF2"/>
    <w:rsid w:val="00142C9F"/>
    <w:rsid w:val="0014346D"/>
    <w:rsid w:val="00147174"/>
    <w:rsid w:val="00152623"/>
    <w:rsid w:val="00154C11"/>
    <w:rsid w:val="00155478"/>
    <w:rsid w:val="001576CE"/>
    <w:rsid w:val="0015783D"/>
    <w:rsid w:val="0016015D"/>
    <w:rsid w:val="00162BD0"/>
    <w:rsid w:val="00163230"/>
    <w:rsid w:val="00163E6A"/>
    <w:rsid w:val="00164128"/>
    <w:rsid w:val="00164AB8"/>
    <w:rsid w:val="00164F4B"/>
    <w:rsid w:val="00165D05"/>
    <w:rsid w:val="0017093E"/>
    <w:rsid w:val="00171CE1"/>
    <w:rsid w:val="00172B5C"/>
    <w:rsid w:val="00181372"/>
    <w:rsid w:val="00190010"/>
    <w:rsid w:val="00190987"/>
    <w:rsid w:val="001913D8"/>
    <w:rsid w:val="00191EDE"/>
    <w:rsid w:val="00192088"/>
    <w:rsid w:val="00193194"/>
    <w:rsid w:val="00194692"/>
    <w:rsid w:val="00195579"/>
    <w:rsid w:val="001A447F"/>
    <w:rsid w:val="001A6192"/>
    <w:rsid w:val="001A7376"/>
    <w:rsid w:val="001A7CE8"/>
    <w:rsid w:val="001B0582"/>
    <w:rsid w:val="001B0E0D"/>
    <w:rsid w:val="001B61C1"/>
    <w:rsid w:val="001B669F"/>
    <w:rsid w:val="001C0741"/>
    <w:rsid w:val="001C1851"/>
    <w:rsid w:val="001C284A"/>
    <w:rsid w:val="001C6301"/>
    <w:rsid w:val="001C78CE"/>
    <w:rsid w:val="001D064A"/>
    <w:rsid w:val="001D2028"/>
    <w:rsid w:val="001D5057"/>
    <w:rsid w:val="001D525A"/>
    <w:rsid w:val="001D6B1C"/>
    <w:rsid w:val="001E7F8D"/>
    <w:rsid w:val="001F0C08"/>
    <w:rsid w:val="001F2249"/>
    <w:rsid w:val="001F7298"/>
    <w:rsid w:val="00200D7E"/>
    <w:rsid w:val="00203206"/>
    <w:rsid w:val="00204138"/>
    <w:rsid w:val="00205B13"/>
    <w:rsid w:val="00206D0F"/>
    <w:rsid w:val="0020740D"/>
    <w:rsid w:val="00207BA4"/>
    <w:rsid w:val="00210724"/>
    <w:rsid w:val="002158BE"/>
    <w:rsid w:val="00215ABC"/>
    <w:rsid w:val="00217C53"/>
    <w:rsid w:val="0022000F"/>
    <w:rsid w:val="00220396"/>
    <w:rsid w:val="00221C3B"/>
    <w:rsid w:val="002221DF"/>
    <w:rsid w:val="00222B95"/>
    <w:rsid w:val="00225C4C"/>
    <w:rsid w:val="00227E86"/>
    <w:rsid w:val="002324A7"/>
    <w:rsid w:val="00234E4D"/>
    <w:rsid w:val="00234F82"/>
    <w:rsid w:val="00236F3D"/>
    <w:rsid w:val="002377D6"/>
    <w:rsid w:val="00237D1E"/>
    <w:rsid w:val="0024514A"/>
    <w:rsid w:val="00251D3F"/>
    <w:rsid w:val="00252A0F"/>
    <w:rsid w:val="00254C6F"/>
    <w:rsid w:val="00255A92"/>
    <w:rsid w:val="00257E81"/>
    <w:rsid w:val="002627F8"/>
    <w:rsid w:val="002665BF"/>
    <w:rsid w:val="00267DA4"/>
    <w:rsid w:val="00267E07"/>
    <w:rsid w:val="002736A0"/>
    <w:rsid w:val="00273AA7"/>
    <w:rsid w:val="002747C2"/>
    <w:rsid w:val="002755F0"/>
    <w:rsid w:val="00276DC4"/>
    <w:rsid w:val="0027718F"/>
    <w:rsid w:val="002808A1"/>
    <w:rsid w:val="00286916"/>
    <w:rsid w:val="00287A0D"/>
    <w:rsid w:val="00287D42"/>
    <w:rsid w:val="00294934"/>
    <w:rsid w:val="00296AE8"/>
    <w:rsid w:val="00297294"/>
    <w:rsid w:val="002A3362"/>
    <w:rsid w:val="002A3993"/>
    <w:rsid w:val="002A43B7"/>
    <w:rsid w:val="002B5906"/>
    <w:rsid w:val="002C1637"/>
    <w:rsid w:val="002C24F0"/>
    <w:rsid w:val="002C35C9"/>
    <w:rsid w:val="002C391A"/>
    <w:rsid w:val="002C5FC3"/>
    <w:rsid w:val="002D356A"/>
    <w:rsid w:val="002E0745"/>
    <w:rsid w:val="002E78BB"/>
    <w:rsid w:val="002F557B"/>
    <w:rsid w:val="002F7BEF"/>
    <w:rsid w:val="003010F3"/>
    <w:rsid w:val="003020D7"/>
    <w:rsid w:val="0030444C"/>
    <w:rsid w:val="00304B00"/>
    <w:rsid w:val="00306572"/>
    <w:rsid w:val="0031316D"/>
    <w:rsid w:val="0031367A"/>
    <w:rsid w:val="00314375"/>
    <w:rsid w:val="00323A10"/>
    <w:rsid w:val="00325B86"/>
    <w:rsid w:val="00326093"/>
    <w:rsid w:val="00330675"/>
    <w:rsid w:val="003320CF"/>
    <w:rsid w:val="00333762"/>
    <w:rsid w:val="003348AF"/>
    <w:rsid w:val="00334B14"/>
    <w:rsid w:val="003355B4"/>
    <w:rsid w:val="00335A99"/>
    <w:rsid w:val="00336B2B"/>
    <w:rsid w:val="00340339"/>
    <w:rsid w:val="003433A3"/>
    <w:rsid w:val="0034351A"/>
    <w:rsid w:val="003453FA"/>
    <w:rsid w:val="00346660"/>
    <w:rsid w:val="0034713D"/>
    <w:rsid w:val="00347D95"/>
    <w:rsid w:val="00351594"/>
    <w:rsid w:val="003521F1"/>
    <w:rsid w:val="00352E77"/>
    <w:rsid w:val="00353FD9"/>
    <w:rsid w:val="00362CA4"/>
    <w:rsid w:val="00363F65"/>
    <w:rsid w:val="00366406"/>
    <w:rsid w:val="00367BB9"/>
    <w:rsid w:val="003705B7"/>
    <w:rsid w:val="00373271"/>
    <w:rsid w:val="003749B5"/>
    <w:rsid w:val="00375A3F"/>
    <w:rsid w:val="003764DF"/>
    <w:rsid w:val="00376632"/>
    <w:rsid w:val="00377322"/>
    <w:rsid w:val="00383E1C"/>
    <w:rsid w:val="00387FEE"/>
    <w:rsid w:val="00391EC7"/>
    <w:rsid w:val="00394B22"/>
    <w:rsid w:val="003973A8"/>
    <w:rsid w:val="003A300D"/>
    <w:rsid w:val="003A439A"/>
    <w:rsid w:val="003A4BB4"/>
    <w:rsid w:val="003A7893"/>
    <w:rsid w:val="003B13EF"/>
    <w:rsid w:val="003B41E4"/>
    <w:rsid w:val="003B5B6C"/>
    <w:rsid w:val="003B5D28"/>
    <w:rsid w:val="003C1DA3"/>
    <w:rsid w:val="003C7F77"/>
    <w:rsid w:val="003D0473"/>
    <w:rsid w:val="003D101C"/>
    <w:rsid w:val="003D1B90"/>
    <w:rsid w:val="003D26F0"/>
    <w:rsid w:val="003D2ED4"/>
    <w:rsid w:val="003D546D"/>
    <w:rsid w:val="003D7998"/>
    <w:rsid w:val="003E0A56"/>
    <w:rsid w:val="003E0C6D"/>
    <w:rsid w:val="003E1086"/>
    <w:rsid w:val="003E311B"/>
    <w:rsid w:val="003E5565"/>
    <w:rsid w:val="003F496A"/>
    <w:rsid w:val="003F4E13"/>
    <w:rsid w:val="003F5EF8"/>
    <w:rsid w:val="003F6DCF"/>
    <w:rsid w:val="003F740A"/>
    <w:rsid w:val="00401923"/>
    <w:rsid w:val="0040378D"/>
    <w:rsid w:val="00403B49"/>
    <w:rsid w:val="00405FF5"/>
    <w:rsid w:val="0041166D"/>
    <w:rsid w:val="00417216"/>
    <w:rsid w:val="004201F5"/>
    <w:rsid w:val="00420953"/>
    <w:rsid w:val="004214F4"/>
    <w:rsid w:val="004226C6"/>
    <w:rsid w:val="00423B82"/>
    <w:rsid w:val="00423EBB"/>
    <w:rsid w:val="0042493A"/>
    <w:rsid w:val="004249B1"/>
    <w:rsid w:val="00427997"/>
    <w:rsid w:val="004345C4"/>
    <w:rsid w:val="004358B1"/>
    <w:rsid w:val="004405E4"/>
    <w:rsid w:val="00440A1E"/>
    <w:rsid w:val="004466AE"/>
    <w:rsid w:val="00446A50"/>
    <w:rsid w:val="00447298"/>
    <w:rsid w:val="00450119"/>
    <w:rsid w:val="00450AC2"/>
    <w:rsid w:val="00452263"/>
    <w:rsid w:val="004565D8"/>
    <w:rsid w:val="00457B56"/>
    <w:rsid w:val="0046431D"/>
    <w:rsid w:val="00467E79"/>
    <w:rsid w:val="00470055"/>
    <w:rsid w:val="004711B3"/>
    <w:rsid w:val="0047199D"/>
    <w:rsid w:val="00473EA3"/>
    <w:rsid w:val="00474A32"/>
    <w:rsid w:val="00480297"/>
    <w:rsid w:val="00490AA8"/>
    <w:rsid w:val="00497FCD"/>
    <w:rsid w:val="004A3993"/>
    <w:rsid w:val="004A3C49"/>
    <w:rsid w:val="004A4580"/>
    <w:rsid w:val="004A64E2"/>
    <w:rsid w:val="004B34CE"/>
    <w:rsid w:val="004B5AF0"/>
    <w:rsid w:val="004C001B"/>
    <w:rsid w:val="004C00A1"/>
    <w:rsid w:val="004C0271"/>
    <w:rsid w:val="004C1738"/>
    <w:rsid w:val="004C17DA"/>
    <w:rsid w:val="004C3677"/>
    <w:rsid w:val="004C3EDD"/>
    <w:rsid w:val="004C581E"/>
    <w:rsid w:val="004C5FE1"/>
    <w:rsid w:val="004C61BB"/>
    <w:rsid w:val="004C6858"/>
    <w:rsid w:val="004C6F9D"/>
    <w:rsid w:val="004C70D7"/>
    <w:rsid w:val="004D12B7"/>
    <w:rsid w:val="004E1FEF"/>
    <w:rsid w:val="004E75A3"/>
    <w:rsid w:val="004F00CF"/>
    <w:rsid w:val="004F04AA"/>
    <w:rsid w:val="004F07E2"/>
    <w:rsid w:val="004F36F3"/>
    <w:rsid w:val="004F4825"/>
    <w:rsid w:val="004F54B5"/>
    <w:rsid w:val="004F64CC"/>
    <w:rsid w:val="00500048"/>
    <w:rsid w:val="005049D4"/>
    <w:rsid w:val="00507F90"/>
    <w:rsid w:val="0051154F"/>
    <w:rsid w:val="00521A93"/>
    <w:rsid w:val="00524D20"/>
    <w:rsid w:val="00527109"/>
    <w:rsid w:val="005273E5"/>
    <w:rsid w:val="00530861"/>
    <w:rsid w:val="00532975"/>
    <w:rsid w:val="005355E0"/>
    <w:rsid w:val="00536947"/>
    <w:rsid w:val="005417BE"/>
    <w:rsid w:val="005423D8"/>
    <w:rsid w:val="00543562"/>
    <w:rsid w:val="00552572"/>
    <w:rsid w:val="00556F54"/>
    <w:rsid w:val="00557190"/>
    <w:rsid w:val="005630FD"/>
    <w:rsid w:val="00563473"/>
    <w:rsid w:val="00564C1F"/>
    <w:rsid w:val="00566556"/>
    <w:rsid w:val="00566BBC"/>
    <w:rsid w:val="00571708"/>
    <w:rsid w:val="005742D4"/>
    <w:rsid w:val="00574FA8"/>
    <w:rsid w:val="005808C1"/>
    <w:rsid w:val="00582419"/>
    <w:rsid w:val="00582CE9"/>
    <w:rsid w:val="00582DCA"/>
    <w:rsid w:val="00584040"/>
    <w:rsid w:val="0058473B"/>
    <w:rsid w:val="005857AA"/>
    <w:rsid w:val="00590670"/>
    <w:rsid w:val="00591CEB"/>
    <w:rsid w:val="005948D6"/>
    <w:rsid w:val="00596215"/>
    <w:rsid w:val="005965D8"/>
    <w:rsid w:val="005A0CBC"/>
    <w:rsid w:val="005A1974"/>
    <w:rsid w:val="005A33A2"/>
    <w:rsid w:val="005A4CE9"/>
    <w:rsid w:val="005B4FE7"/>
    <w:rsid w:val="005B7029"/>
    <w:rsid w:val="005C0C62"/>
    <w:rsid w:val="005C1695"/>
    <w:rsid w:val="005C16A8"/>
    <w:rsid w:val="005C212E"/>
    <w:rsid w:val="005C47A4"/>
    <w:rsid w:val="005C52BA"/>
    <w:rsid w:val="005C6D24"/>
    <w:rsid w:val="005D0B7B"/>
    <w:rsid w:val="005D755E"/>
    <w:rsid w:val="005E09F6"/>
    <w:rsid w:val="005E0A85"/>
    <w:rsid w:val="005E33B5"/>
    <w:rsid w:val="005E4D45"/>
    <w:rsid w:val="005F4C54"/>
    <w:rsid w:val="005F522F"/>
    <w:rsid w:val="006056E3"/>
    <w:rsid w:val="00606E69"/>
    <w:rsid w:val="00606E8E"/>
    <w:rsid w:val="00610556"/>
    <w:rsid w:val="0061178C"/>
    <w:rsid w:val="006131F4"/>
    <w:rsid w:val="00614E61"/>
    <w:rsid w:val="006153AF"/>
    <w:rsid w:val="006157D8"/>
    <w:rsid w:val="00617248"/>
    <w:rsid w:val="006223E7"/>
    <w:rsid w:val="00626A57"/>
    <w:rsid w:val="006275DD"/>
    <w:rsid w:val="00627CA5"/>
    <w:rsid w:val="00630744"/>
    <w:rsid w:val="00631F7F"/>
    <w:rsid w:val="00632165"/>
    <w:rsid w:val="00635B20"/>
    <w:rsid w:val="006362E8"/>
    <w:rsid w:val="00644CDE"/>
    <w:rsid w:val="00646CE1"/>
    <w:rsid w:val="00650759"/>
    <w:rsid w:val="00654FCF"/>
    <w:rsid w:val="00655D5D"/>
    <w:rsid w:val="006560D1"/>
    <w:rsid w:val="00657933"/>
    <w:rsid w:val="006654E1"/>
    <w:rsid w:val="00667A21"/>
    <w:rsid w:val="006708B9"/>
    <w:rsid w:val="0067102D"/>
    <w:rsid w:val="006713CE"/>
    <w:rsid w:val="00672F7A"/>
    <w:rsid w:val="00673DE8"/>
    <w:rsid w:val="00674F21"/>
    <w:rsid w:val="00685447"/>
    <w:rsid w:val="00690839"/>
    <w:rsid w:val="006929EC"/>
    <w:rsid w:val="00694620"/>
    <w:rsid w:val="006A571D"/>
    <w:rsid w:val="006B54C5"/>
    <w:rsid w:val="006B6C8C"/>
    <w:rsid w:val="006B6F80"/>
    <w:rsid w:val="006C0DC4"/>
    <w:rsid w:val="006C15B1"/>
    <w:rsid w:val="006C484F"/>
    <w:rsid w:val="006D119F"/>
    <w:rsid w:val="006D2F6E"/>
    <w:rsid w:val="006D4D91"/>
    <w:rsid w:val="006D5112"/>
    <w:rsid w:val="006E30D7"/>
    <w:rsid w:val="006E3B5D"/>
    <w:rsid w:val="006E43DA"/>
    <w:rsid w:val="006E72F0"/>
    <w:rsid w:val="006F3C4E"/>
    <w:rsid w:val="006F4A29"/>
    <w:rsid w:val="006F4DC0"/>
    <w:rsid w:val="006F6F37"/>
    <w:rsid w:val="006F76B3"/>
    <w:rsid w:val="00700977"/>
    <w:rsid w:val="00700EC3"/>
    <w:rsid w:val="007042C4"/>
    <w:rsid w:val="00706880"/>
    <w:rsid w:val="007070FC"/>
    <w:rsid w:val="00707D58"/>
    <w:rsid w:val="00715598"/>
    <w:rsid w:val="00716319"/>
    <w:rsid w:val="00722EF8"/>
    <w:rsid w:val="00722F16"/>
    <w:rsid w:val="00724084"/>
    <w:rsid w:val="007316FE"/>
    <w:rsid w:val="00733D38"/>
    <w:rsid w:val="00735A66"/>
    <w:rsid w:val="00735E33"/>
    <w:rsid w:val="007362CE"/>
    <w:rsid w:val="00761A16"/>
    <w:rsid w:val="00763329"/>
    <w:rsid w:val="00763ACC"/>
    <w:rsid w:val="00763E54"/>
    <w:rsid w:val="00764A63"/>
    <w:rsid w:val="0077074C"/>
    <w:rsid w:val="00771125"/>
    <w:rsid w:val="0077303F"/>
    <w:rsid w:val="00773596"/>
    <w:rsid w:val="00773604"/>
    <w:rsid w:val="00774BDC"/>
    <w:rsid w:val="00775925"/>
    <w:rsid w:val="00782376"/>
    <w:rsid w:val="0078430E"/>
    <w:rsid w:val="00784B21"/>
    <w:rsid w:val="00786B2E"/>
    <w:rsid w:val="00786B90"/>
    <w:rsid w:val="00792773"/>
    <w:rsid w:val="007947B1"/>
    <w:rsid w:val="007A12B7"/>
    <w:rsid w:val="007A1C1D"/>
    <w:rsid w:val="007B1C62"/>
    <w:rsid w:val="007B3CFA"/>
    <w:rsid w:val="007B4F17"/>
    <w:rsid w:val="007B73FC"/>
    <w:rsid w:val="007B7AA7"/>
    <w:rsid w:val="007C0274"/>
    <w:rsid w:val="007C1728"/>
    <w:rsid w:val="007C2D35"/>
    <w:rsid w:val="007C2DFF"/>
    <w:rsid w:val="007D09EE"/>
    <w:rsid w:val="007D56C3"/>
    <w:rsid w:val="007E1281"/>
    <w:rsid w:val="007F0A8B"/>
    <w:rsid w:val="007F1529"/>
    <w:rsid w:val="007F516A"/>
    <w:rsid w:val="007F6477"/>
    <w:rsid w:val="00801E4C"/>
    <w:rsid w:val="00804956"/>
    <w:rsid w:val="00807205"/>
    <w:rsid w:val="0080764A"/>
    <w:rsid w:val="00810C81"/>
    <w:rsid w:val="00814D8D"/>
    <w:rsid w:val="00816538"/>
    <w:rsid w:val="0081723F"/>
    <w:rsid w:val="00820674"/>
    <w:rsid w:val="00831EE5"/>
    <w:rsid w:val="00833D1B"/>
    <w:rsid w:val="00834FEF"/>
    <w:rsid w:val="00837CC3"/>
    <w:rsid w:val="0084383C"/>
    <w:rsid w:val="00845779"/>
    <w:rsid w:val="00845869"/>
    <w:rsid w:val="00850375"/>
    <w:rsid w:val="00852D32"/>
    <w:rsid w:val="00853925"/>
    <w:rsid w:val="0085455C"/>
    <w:rsid w:val="008569F9"/>
    <w:rsid w:val="008631CF"/>
    <w:rsid w:val="00864834"/>
    <w:rsid w:val="00864E20"/>
    <w:rsid w:val="0087023E"/>
    <w:rsid w:val="008721B9"/>
    <w:rsid w:val="00874F61"/>
    <w:rsid w:val="00876FED"/>
    <w:rsid w:val="00877002"/>
    <w:rsid w:val="00877D93"/>
    <w:rsid w:val="008862CF"/>
    <w:rsid w:val="0088742C"/>
    <w:rsid w:val="00890A12"/>
    <w:rsid w:val="00894106"/>
    <w:rsid w:val="00895AAA"/>
    <w:rsid w:val="008969F2"/>
    <w:rsid w:val="00896E87"/>
    <w:rsid w:val="00896FDB"/>
    <w:rsid w:val="008A0CE0"/>
    <w:rsid w:val="008A3A92"/>
    <w:rsid w:val="008A5879"/>
    <w:rsid w:val="008A67CB"/>
    <w:rsid w:val="008B0AB3"/>
    <w:rsid w:val="008B5297"/>
    <w:rsid w:val="008B66D0"/>
    <w:rsid w:val="008C43DE"/>
    <w:rsid w:val="008C653C"/>
    <w:rsid w:val="008D4793"/>
    <w:rsid w:val="008D6D5E"/>
    <w:rsid w:val="008E1DB7"/>
    <w:rsid w:val="008F05BF"/>
    <w:rsid w:val="008F18FD"/>
    <w:rsid w:val="008F4153"/>
    <w:rsid w:val="008F4CEF"/>
    <w:rsid w:val="008F4F61"/>
    <w:rsid w:val="008F6D77"/>
    <w:rsid w:val="008F774D"/>
    <w:rsid w:val="00903253"/>
    <w:rsid w:val="0090333E"/>
    <w:rsid w:val="00907C20"/>
    <w:rsid w:val="00910AF8"/>
    <w:rsid w:val="00911DE7"/>
    <w:rsid w:val="00913DE7"/>
    <w:rsid w:val="00920137"/>
    <w:rsid w:val="00920FAC"/>
    <w:rsid w:val="0092163A"/>
    <w:rsid w:val="00921AA9"/>
    <w:rsid w:val="009259D9"/>
    <w:rsid w:val="00926FF3"/>
    <w:rsid w:val="00927B35"/>
    <w:rsid w:val="00931816"/>
    <w:rsid w:val="00934570"/>
    <w:rsid w:val="009348F3"/>
    <w:rsid w:val="00936013"/>
    <w:rsid w:val="00937768"/>
    <w:rsid w:val="009415FB"/>
    <w:rsid w:val="00952E8F"/>
    <w:rsid w:val="00956A21"/>
    <w:rsid w:val="0095746E"/>
    <w:rsid w:val="00957D95"/>
    <w:rsid w:val="00962559"/>
    <w:rsid w:val="00962E2F"/>
    <w:rsid w:val="009645D3"/>
    <w:rsid w:val="009660B6"/>
    <w:rsid w:val="00967F34"/>
    <w:rsid w:val="00972C50"/>
    <w:rsid w:val="009731FF"/>
    <w:rsid w:val="00973A22"/>
    <w:rsid w:val="00977739"/>
    <w:rsid w:val="00981BFD"/>
    <w:rsid w:val="00984CBD"/>
    <w:rsid w:val="00985D43"/>
    <w:rsid w:val="00986762"/>
    <w:rsid w:val="009917F1"/>
    <w:rsid w:val="00991C1D"/>
    <w:rsid w:val="00994E9C"/>
    <w:rsid w:val="00995407"/>
    <w:rsid w:val="00995608"/>
    <w:rsid w:val="009962A2"/>
    <w:rsid w:val="00997401"/>
    <w:rsid w:val="00997F4B"/>
    <w:rsid w:val="009A34C0"/>
    <w:rsid w:val="009A4586"/>
    <w:rsid w:val="009A62FE"/>
    <w:rsid w:val="009A6635"/>
    <w:rsid w:val="009A6A82"/>
    <w:rsid w:val="009B1176"/>
    <w:rsid w:val="009B13C4"/>
    <w:rsid w:val="009B2002"/>
    <w:rsid w:val="009B3C40"/>
    <w:rsid w:val="009B6A6B"/>
    <w:rsid w:val="009B75AB"/>
    <w:rsid w:val="009C1451"/>
    <w:rsid w:val="009C579F"/>
    <w:rsid w:val="009C5E00"/>
    <w:rsid w:val="009C6B35"/>
    <w:rsid w:val="009C7023"/>
    <w:rsid w:val="009D3178"/>
    <w:rsid w:val="009D658C"/>
    <w:rsid w:val="009E1E7F"/>
    <w:rsid w:val="009E29EA"/>
    <w:rsid w:val="009E5347"/>
    <w:rsid w:val="009E5605"/>
    <w:rsid w:val="009E6169"/>
    <w:rsid w:val="009F07D6"/>
    <w:rsid w:val="009F2960"/>
    <w:rsid w:val="009F5810"/>
    <w:rsid w:val="009F6048"/>
    <w:rsid w:val="009F7C3D"/>
    <w:rsid w:val="00A00707"/>
    <w:rsid w:val="00A0151D"/>
    <w:rsid w:val="00A10750"/>
    <w:rsid w:val="00A135C6"/>
    <w:rsid w:val="00A15B13"/>
    <w:rsid w:val="00A17BC8"/>
    <w:rsid w:val="00A17DE5"/>
    <w:rsid w:val="00A17EC7"/>
    <w:rsid w:val="00A229A5"/>
    <w:rsid w:val="00A22D6D"/>
    <w:rsid w:val="00A2374F"/>
    <w:rsid w:val="00A25A7C"/>
    <w:rsid w:val="00A264C9"/>
    <w:rsid w:val="00A27366"/>
    <w:rsid w:val="00A305B6"/>
    <w:rsid w:val="00A312B8"/>
    <w:rsid w:val="00A31DBD"/>
    <w:rsid w:val="00A336DC"/>
    <w:rsid w:val="00A405CB"/>
    <w:rsid w:val="00A40A0F"/>
    <w:rsid w:val="00A426E8"/>
    <w:rsid w:val="00A430B9"/>
    <w:rsid w:val="00A54279"/>
    <w:rsid w:val="00A61F1E"/>
    <w:rsid w:val="00A6385E"/>
    <w:rsid w:val="00A65E6D"/>
    <w:rsid w:val="00A6619E"/>
    <w:rsid w:val="00A701D2"/>
    <w:rsid w:val="00A70ABC"/>
    <w:rsid w:val="00A72D17"/>
    <w:rsid w:val="00A73A6F"/>
    <w:rsid w:val="00A75024"/>
    <w:rsid w:val="00A7726D"/>
    <w:rsid w:val="00A77703"/>
    <w:rsid w:val="00A778EC"/>
    <w:rsid w:val="00A80B7D"/>
    <w:rsid w:val="00A822A7"/>
    <w:rsid w:val="00A822B9"/>
    <w:rsid w:val="00A85991"/>
    <w:rsid w:val="00A8606F"/>
    <w:rsid w:val="00A97FD6"/>
    <w:rsid w:val="00AA2E33"/>
    <w:rsid w:val="00AA30B5"/>
    <w:rsid w:val="00AA367A"/>
    <w:rsid w:val="00AA45DF"/>
    <w:rsid w:val="00AA79BF"/>
    <w:rsid w:val="00AB3E5D"/>
    <w:rsid w:val="00AB3EA9"/>
    <w:rsid w:val="00AC064F"/>
    <w:rsid w:val="00AC114C"/>
    <w:rsid w:val="00AC4490"/>
    <w:rsid w:val="00AC65E0"/>
    <w:rsid w:val="00AC6CC9"/>
    <w:rsid w:val="00AD6321"/>
    <w:rsid w:val="00AD71FC"/>
    <w:rsid w:val="00AD787B"/>
    <w:rsid w:val="00AD7ABC"/>
    <w:rsid w:val="00AE325E"/>
    <w:rsid w:val="00AE455D"/>
    <w:rsid w:val="00AE4FE3"/>
    <w:rsid w:val="00AE5853"/>
    <w:rsid w:val="00AF0BED"/>
    <w:rsid w:val="00AF35DB"/>
    <w:rsid w:val="00AF469E"/>
    <w:rsid w:val="00AF602B"/>
    <w:rsid w:val="00B00D25"/>
    <w:rsid w:val="00B0239D"/>
    <w:rsid w:val="00B048E4"/>
    <w:rsid w:val="00B054E5"/>
    <w:rsid w:val="00B0606C"/>
    <w:rsid w:val="00B06088"/>
    <w:rsid w:val="00B06172"/>
    <w:rsid w:val="00B06197"/>
    <w:rsid w:val="00B0695D"/>
    <w:rsid w:val="00B17209"/>
    <w:rsid w:val="00B2079D"/>
    <w:rsid w:val="00B20905"/>
    <w:rsid w:val="00B20B1A"/>
    <w:rsid w:val="00B22174"/>
    <w:rsid w:val="00B2792F"/>
    <w:rsid w:val="00B31D40"/>
    <w:rsid w:val="00B3311E"/>
    <w:rsid w:val="00B34440"/>
    <w:rsid w:val="00B347D5"/>
    <w:rsid w:val="00B35CA8"/>
    <w:rsid w:val="00B458EA"/>
    <w:rsid w:val="00B4716B"/>
    <w:rsid w:val="00B52D12"/>
    <w:rsid w:val="00B57831"/>
    <w:rsid w:val="00B66889"/>
    <w:rsid w:val="00B67EBE"/>
    <w:rsid w:val="00B72852"/>
    <w:rsid w:val="00B74918"/>
    <w:rsid w:val="00B76C53"/>
    <w:rsid w:val="00B816E3"/>
    <w:rsid w:val="00B817EF"/>
    <w:rsid w:val="00B818C1"/>
    <w:rsid w:val="00B8442C"/>
    <w:rsid w:val="00B86323"/>
    <w:rsid w:val="00B912B2"/>
    <w:rsid w:val="00B92641"/>
    <w:rsid w:val="00B95BCD"/>
    <w:rsid w:val="00BA01EF"/>
    <w:rsid w:val="00BA2732"/>
    <w:rsid w:val="00BA7B2D"/>
    <w:rsid w:val="00BB0B9B"/>
    <w:rsid w:val="00BB223C"/>
    <w:rsid w:val="00BB4912"/>
    <w:rsid w:val="00BC30C4"/>
    <w:rsid w:val="00BD38C3"/>
    <w:rsid w:val="00BD506D"/>
    <w:rsid w:val="00BD65D0"/>
    <w:rsid w:val="00BD72FF"/>
    <w:rsid w:val="00BD7322"/>
    <w:rsid w:val="00BE2D0D"/>
    <w:rsid w:val="00BE665E"/>
    <w:rsid w:val="00BE77F4"/>
    <w:rsid w:val="00BF2F39"/>
    <w:rsid w:val="00BF45E3"/>
    <w:rsid w:val="00C05427"/>
    <w:rsid w:val="00C055EC"/>
    <w:rsid w:val="00C05BDE"/>
    <w:rsid w:val="00C128B6"/>
    <w:rsid w:val="00C13F8A"/>
    <w:rsid w:val="00C1477B"/>
    <w:rsid w:val="00C14F79"/>
    <w:rsid w:val="00C17919"/>
    <w:rsid w:val="00C22627"/>
    <w:rsid w:val="00C2402B"/>
    <w:rsid w:val="00C263D4"/>
    <w:rsid w:val="00C2642D"/>
    <w:rsid w:val="00C26938"/>
    <w:rsid w:val="00C27FD4"/>
    <w:rsid w:val="00C32992"/>
    <w:rsid w:val="00C33CB0"/>
    <w:rsid w:val="00C43B46"/>
    <w:rsid w:val="00C43E9C"/>
    <w:rsid w:val="00C458BF"/>
    <w:rsid w:val="00C464DD"/>
    <w:rsid w:val="00C51AAC"/>
    <w:rsid w:val="00C51D1F"/>
    <w:rsid w:val="00C52306"/>
    <w:rsid w:val="00C5255A"/>
    <w:rsid w:val="00C52712"/>
    <w:rsid w:val="00C539E4"/>
    <w:rsid w:val="00C601B2"/>
    <w:rsid w:val="00C65CB7"/>
    <w:rsid w:val="00C666C6"/>
    <w:rsid w:val="00C668F2"/>
    <w:rsid w:val="00C710BD"/>
    <w:rsid w:val="00C723D6"/>
    <w:rsid w:val="00C753A6"/>
    <w:rsid w:val="00C75C9C"/>
    <w:rsid w:val="00C800FA"/>
    <w:rsid w:val="00C80734"/>
    <w:rsid w:val="00C81655"/>
    <w:rsid w:val="00C8269C"/>
    <w:rsid w:val="00C82884"/>
    <w:rsid w:val="00C85633"/>
    <w:rsid w:val="00C874BA"/>
    <w:rsid w:val="00C87523"/>
    <w:rsid w:val="00C87901"/>
    <w:rsid w:val="00C90909"/>
    <w:rsid w:val="00C9108B"/>
    <w:rsid w:val="00C9344B"/>
    <w:rsid w:val="00C9442C"/>
    <w:rsid w:val="00C94437"/>
    <w:rsid w:val="00C95371"/>
    <w:rsid w:val="00C956F6"/>
    <w:rsid w:val="00CA41D7"/>
    <w:rsid w:val="00CA41E3"/>
    <w:rsid w:val="00CA4C42"/>
    <w:rsid w:val="00CB4679"/>
    <w:rsid w:val="00CC19E7"/>
    <w:rsid w:val="00CC4165"/>
    <w:rsid w:val="00CC534E"/>
    <w:rsid w:val="00CC7DB7"/>
    <w:rsid w:val="00CC7FC6"/>
    <w:rsid w:val="00CC7FC7"/>
    <w:rsid w:val="00CD021F"/>
    <w:rsid w:val="00CD3C95"/>
    <w:rsid w:val="00CD48B5"/>
    <w:rsid w:val="00CD4FFE"/>
    <w:rsid w:val="00CE08FF"/>
    <w:rsid w:val="00CE1393"/>
    <w:rsid w:val="00CE1721"/>
    <w:rsid w:val="00CE1CBC"/>
    <w:rsid w:val="00CE32BB"/>
    <w:rsid w:val="00CF0F10"/>
    <w:rsid w:val="00CF22BB"/>
    <w:rsid w:val="00CF47DF"/>
    <w:rsid w:val="00CF574E"/>
    <w:rsid w:val="00D017A5"/>
    <w:rsid w:val="00D02C4E"/>
    <w:rsid w:val="00D04874"/>
    <w:rsid w:val="00D06A8A"/>
    <w:rsid w:val="00D06D1B"/>
    <w:rsid w:val="00D106C1"/>
    <w:rsid w:val="00D10F27"/>
    <w:rsid w:val="00D11F9B"/>
    <w:rsid w:val="00D12A15"/>
    <w:rsid w:val="00D12B62"/>
    <w:rsid w:val="00D16C81"/>
    <w:rsid w:val="00D200B0"/>
    <w:rsid w:val="00D227E3"/>
    <w:rsid w:val="00D229B8"/>
    <w:rsid w:val="00D26AB5"/>
    <w:rsid w:val="00D26F9F"/>
    <w:rsid w:val="00D32727"/>
    <w:rsid w:val="00D33A44"/>
    <w:rsid w:val="00D33E14"/>
    <w:rsid w:val="00D34A8E"/>
    <w:rsid w:val="00D42229"/>
    <w:rsid w:val="00D53BE7"/>
    <w:rsid w:val="00D54CB8"/>
    <w:rsid w:val="00D55EB7"/>
    <w:rsid w:val="00D604DC"/>
    <w:rsid w:val="00D61F34"/>
    <w:rsid w:val="00D67355"/>
    <w:rsid w:val="00D739E3"/>
    <w:rsid w:val="00D74407"/>
    <w:rsid w:val="00D754DC"/>
    <w:rsid w:val="00D76714"/>
    <w:rsid w:val="00D80EDD"/>
    <w:rsid w:val="00D81250"/>
    <w:rsid w:val="00D81C97"/>
    <w:rsid w:val="00D83AAA"/>
    <w:rsid w:val="00D95665"/>
    <w:rsid w:val="00D96813"/>
    <w:rsid w:val="00DA1C28"/>
    <w:rsid w:val="00DA1E7A"/>
    <w:rsid w:val="00DB0933"/>
    <w:rsid w:val="00DB1210"/>
    <w:rsid w:val="00DB1FDC"/>
    <w:rsid w:val="00DB60AC"/>
    <w:rsid w:val="00DB61D0"/>
    <w:rsid w:val="00DC1513"/>
    <w:rsid w:val="00DC19DC"/>
    <w:rsid w:val="00DC3887"/>
    <w:rsid w:val="00DC4894"/>
    <w:rsid w:val="00DC5402"/>
    <w:rsid w:val="00DC75F2"/>
    <w:rsid w:val="00DC7E04"/>
    <w:rsid w:val="00DD3A74"/>
    <w:rsid w:val="00DE1499"/>
    <w:rsid w:val="00DE26D5"/>
    <w:rsid w:val="00DE4F3D"/>
    <w:rsid w:val="00DE5057"/>
    <w:rsid w:val="00DF56DC"/>
    <w:rsid w:val="00E10C81"/>
    <w:rsid w:val="00E12922"/>
    <w:rsid w:val="00E1468E"/>
    <w:rsid w:val="00E201F8"/>
    <w:rsid w:val="00E2148D"/>
    <w:rsid w:val="00E25950"/>
    <w:rsid w:val="00E26BBC"/>
    <w:rsid w:val="00E31286"/>
    <w:rsid w:val="00E315B8"/>
    <w:rsid w:val="00E31BFB"/>
    <w:rsid w:val="00E3461E"/>
    <w:rsid w:val="00E359E2"/>
    <w:rsid w:val="00E36753"/>
    <w:rsid w:val="00E4175D"/>
    <w:rsid w:val="00E43D27"/>
    <w:rsid w:val="00E449AC"/>
    <w:rsid w:val="00E476DF"/>
    <w:rsid w:val="00E503EF"/>
    <w:rsid w:val="00E50EA3"/>
    <w:rsid w:val="00E536E1"/>
    <w:rsid w:val="00E55320"/>
    <w:rsid w:val="00E573D2"/>
    <w:rsid w:val="00E61337"/>
    <w:rsid w:val="00E634F4"/>
    <w:rsid w:val="00E653CE"/>
    <w:rsid w:val="00E728AD"/>
    <w:rsid w:val="00E810B8"/>
    <w:rsid w:val="00E821F6"/>
    <w:rsid w:val="00E86A22"/>
    <w:rsid w:val="00E91AB8"/>
    <w:rsid w:val="00E920CA"/>
    <w:rsid w:val="00E94022"/>
    <w:rsid w:val="00E94426"/>
    <w:rsid w:val="00E96564"/>
    <w:rsid w:val="00E9684B"/>
    <w:rsid w:val="00EA1062"/>
    <w:rsid w:val="00EA143F"/>
    <w:rsid w:val="00EA3EB3"/>
    <w:rsid w:val="00EA50FA"/>
    <w:rsid w:val="00EA7990"/>
    <w:rsid w:val="00EA7FC1"/>
    <w:rsid w:val="00EB0B9F"/>
    <w:rsid w:val="00EB108A"/>
    <w:rsid w:val="00EC1256"/>
    <w:rsid w:val="00EC156F"/>
    <w:rsid w:val="00EC2454"/>
    <w:rsid w:val="00EC35E4"/>
    <w:rsid w:val="00EC7412"/>
    <w:rsid w:val="00ED223B"/>
    <w:rsid w:val="00ED2ECD"/>
    <w:rsid w:val="00ED643E"/>
    <w:rsid w:val="00EE056F"/>
    <w:rsid w:val="00EE19A6"/>
    <w:rsid w:val="00EE22B7"/>
    <w:rsid w:val="00EE269B"/>
    <w:rsid w:val="00EF3B3A"/>
    <w:rsid w:val="00F00FDE"/>
    <w:rsid w:val="00F043F1"/>
    <w:rsid w:val="00F14765"/>
    <w:rsid w:val="00F175E6"/>
    <w:rsid w:val="00F2375D"/>
    <w:rsid w:val="00F24E71"/>
    <w:rsid w:val="00F24EA0"/>
    <w:rsid w:val="00F27BD3"/>
    <w:rsid w:val="00F3138E"/>
    <w:rsid w:val="00F338ED"/>
    <w:rsid w:val="00F33FDE"/>
    <w:rsid w:val="00F3613F"/>
    <w:rsid w:val="00F36AA0"/>
    <w:rsid w:val="00F37796"/>
    <w:rsid w:val="00F37BA1"/>
    <w:rsid w:val="00F400BD"/>
    <w:rsid w:val="00F40CA3"/>
    <w:rsid w:val="00F4371C"/>
    <w:rsid w:val="00F52A0F"/>
    <w:rsid w:val="00F535DD"/>
    <w:rsid w:val="00F53915"/>
    <w:rsid w:val="00F540F5"/>
    <w:rsid w:val="00F54829"/>
    <w:rsid w:val="00F55537"/>
    <w:rsid w:val="00F57E7B"/>
    <w:rsid w:val="00F632F9"/>
    <w:rsid w:val="00F63E83"/>
    <w:rsid w:val="00F66622"/>
    <w:rsid w:val="00F6683A"/>
    <w:rsid w:val="00F710B6"/>
    <w:rsid w:val="00F71132"/>
    <w:rsid w:val="00F831C9"/>
    <w:rsid w:val="00F840D0"/>
    <w:rsid w:val="00F851B0"/>
    <w:rsid w:val="00F8727F"/>
    <w:rsid w:val="00F9165A"/>
    <w:rsid w:val="00F921FE"/>
    <w:rsid w:val="00F92558"/>
    <w:rsid w:val="00F94946"/>
    <w:rsid w:val="00F958A8"/>
    <w:rsid w:val="00F97F08"/>
    <w:rsid w:val="00FA082F"/>
    <w:rsid w:val="00FA0FBD"/>
    <w:rsid w:val="00FA27F1"/>
    <w:rsid w:val="00FA397A"/>
    <w:rsid w:val="00FA45AE"/>
    <w:rsid w:val="00FA4FAC"/>
    <w:rsid w:val="00FA57C1"/>
    <w:rsid w:val="00FB00FE"/>
    <w:rsid w:val="00FB1F72"/>
    <w:rsid w:val="00FB21E8"/>
    <w:rsid w:val="00FB3A0A"/>
    <w:rsid w:val="00FB606E"/>
    <w:rsid w:val="00FC0C53"/>
    <w:rsid w:val="00FC2B04"/>
    <w:rsid w:val="00FC5337"/>
    <w:rsid w:val="00FC71DE"/>
    <w:rsid w:val="00FD2398"/>
    <w:rsid w:val="00FD273B"/>
    <w:rsid w:val="00FD512A"/>
    <w:rsid w:val="00FD715E"/>
    <w:rsid w:val="00FE2CF6"/>
    <w:rsid w:val="00FE2ECA"/>
    <w:rsid w:val="00FE2FF7"/>
    <w:rsid w:val="00FE38C6"/>
    <w:rsid w:val="00FE4C02"/>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unhideWhenUsed="0"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C4"/>
    <w:rPr>
      <w:rFonts w:ascii="Arial" w:hAnsi="Arial"/>
      <w:szCs w:val="20"/>
    </w:rPr>
  </w:style>
  <w:style w:type="paragraph" w:styleId="Heading1">
    <w:name w:val="heading 1"/>
    <w:basedOn w:val="Normal"/>
    <w:next w:val="Normal"/>
    <w:link w:val="Heading1Char"/>
    <w:uiPriority w:val="9"/>
    <w:qFormat/>
    <w:rsid w:val="00200D7E"/>
    <w:pPr>
      <w:numPr>
        <w:numId w:val="1"/>
      </w:numPr>
      <w:pBdr>
        <w:top w:val="single" w:sz="8" w:space="1" w:color="49773B"/>
        <w:left w:val="single" w:sz="8" w:space="4" w:color="49773B"/>
        <w:bottom w:val="single" w:sz="8" w:space="1" w:color="49773B"/>
        <w:right w:val="single" w:sz="8" w:space="4" w:color="49773B"/>
      </w:pBdr>
      <w:shd w:val="clear" w:color="auto" w:fill="49773B"/>
      <w:spacing w:after="0"/>
      <w:outlineLvl w:val="0"/>
    </w:pPr>
    <w:rPr>
      <w:rFonts w:ascii="Calibri Light" w:hAnsi="Calibri Light"/>
      <w:bCs/>
      <w:caps/>
      <w:color w:val="FFFFFF" w:themeColor="background1"/>
      <w:spacing w:val="15"/>
      <w:sz w:val="24"/>
      <w:szCs w:val="22"/>
    </w:rPr>
  </w:style>
  <w:style w:type="paragraph" w:styleId="Heading2">
    <w:name w:val="heading 2"/>
    <w:basedOn w:val="Heading1"/>
    <w:next w:val="Normal"/>
    <w:link w:val="Heading2Char"/>
    <w:uiPriority w:val="9"/>
    <w:unhideWhenUsed/>
    <w:qFormat/>
    <w:rsid w:val="00ED223B"/>
    <w:pPr>
      <w:numPr>
        <w:ilvl w:val="1"/>
      </w:numPr>
      <w:pBdr>
        <w:top w:val="single" w:sz="8" w:space="1" w:color="BED1E8"/>
        <w:left w:val="single" w:sz="8" w:space="4" w:color="BED1E8"/>
        <w:bottom w:val="single" w:sz="8" w:space="1" w:color="BED1E8"/>
        <w:right w:val="single" w:sz="8" w:space="4" w:color="BED1E8"/>
      </w:pBdr>
      <w:shd w:val="clear" w:color="auto" w:fill="BED1E8"/>
      <w:outlineLvl w:val="1"/>
    </w:pPr>
    <w:rPr>
      <w:color w:val="auto"/>
      <w:sz w:val="28"/>
    </w:rPr>
  </w:style>
  <w:style w:type="paragraph" w:styleId="Heading3">
    <w:name w:val="heading 3"/>
    <w:basedOn w:val="Normal"/>
    <w:next w:val="Normal"/>
    <w:link w:val="Heading3Char"/>
    <w:uiPriority w:val="9"/>
    <w:unhideWhenUsed/>
    <w:qFormat/>
    <w:rsid w:val="00973A22"/>
    <w:pPr>
      <w:numPr>
        <w:ilvl w:val="2"/>
        <w:numId w:val="1"/>
      </w:numPr>
      <w:pBdr>
        <w:top w:val="single" w:sz="6" w:space="2" w:color="4F81BD" w:themeColor="accent1"/>
        <w:left w:val="single" w:sz="6" w:space="2" w:color="4F81BD" w:themeColor="accent1"/>
      </w:pBdr>
      <w:spacing w:before="60" w:afterLines="60"/>
      <w:outlineLvl w:val="2"/>
    </w:pPr>
    <w:rPr>
      <w:rFonts w:ascii="Calibri Light" w:hAnsi="Calibri Light"/>
      <w:caps/>
      <w:color w:val="243F60" w:themeColor="accent1" w:themeShade="7F"/>
      <w:spacing w:val="15"/>
      <w:szCs w:val="22"/>
    </w:rPr>
  </w:style>
  <w:style w:type="paragraph" w:styleId="Heading4">
    <w:name w:val="heading 4"/>
    <w:basedOn w:val="Normal"/>
    <w:next w:val="Normal"/>
    <w:link w:val="Heading4Char"/>
    <w:uiPriority w:val="9"/>
    <w:unhideWhenUsed/>
    <w:qFormat/>
    <w:locked/>
    <w:rsid w:val="00ED223B"/>
    <w:pPr>
      <w:numPr>
        <w:ilvl w:val="3"/>
        <w:numId w:val="1"/>
      </w:numPr>
      <w:pBdr>
        <w:top w:val="dotted" w:sz="6" w:space="2" w:color="4F81BD" w:themeColor="accent1"/>
        <w:left w:val="dotted" w:sz="6" w:space="2" w:color="4F81BD" w:themeColor="accent1"/>
      </w:pBdr>
      <w:spacing w:before="60" w:afterLines="60"/>
      <w:outlineLvl w:val="3"/>
    </w:pPr>
    <w:rPr>
      <w:rFonts w:ascii="Calibri Light" w:hAnsi="Calibri Light"/>
      <w:caps/>
      <w:color w:val="365F91" w:themeColor="accent1" w:themeShade="BF"/>
      <w:spacing w:val="10"/>
      <w:szCs w:val="22"/>
    </w:rPr>
  </w:style>
  <w:style w:type="paragraph" w:styleId="Heading5">
    <w:name w:val="heading 5"/>
    <w:basedOn w:val="Normal"/>
    <w:next w:val="Normal"/>
    <w:link w:val="Heading5Char"/>
    <w:uiPriority w:val="9"/>
    <w:unhideWhenUsed/>
    <w:qFormat/>
    <w:locked/>
    <w:rsid w:val="00ED223B"/>
    <w:pPr>
      <w:numPr>
        <w:ilvl w:val="4"/>
        <w:numId w:val="1"/>
      </w:num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unhideWhenUsed/>
    <w:qFormat/>
    <w:locked/>
    <w:rsid w:val="00ED223B"/>
    <w:pPr>
      <w:numPr>
        <w:ilvl w:val="5"/>
        <w:numId w:val="1"/>
      </w:num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locked/>
    <w:rsid w:val="00200D7E"/>
    <w:pPr>
      <w:numPr>
        <w:ilvl w:val="6"/>
        <w:numId w:val="1"/>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locked/>
    <w:rsid w:val="00200D7E"/>
    <w:pPr>
      <w:numPr>
        <w:ilvl w:val="7"/>
        <w:numId w:val="1"/>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locked/>
    <w:rsid w:val="00200D7E"/>
    <w:pPr>
      <w:numPr>
        <w:ilvl w:val="8"/>
        <w:numId w:val="1"/>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D7E"/>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ED223B"/>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973A22"/>
    <w:rPr>
      <w:rFonts w:ascii="Calibri Light" w:hAnsi="Calibri Light"/>
      <w:caps/>
      <w:color w:val="243F60" w:themeColor="accent1" w:themeShade="7F"/>
      <w:spacing w:val="15"/>
    </w:rPr>
  </w:style>
  <w:style w:type="paragraph" w:styleId="BalloonText">
    <w:name w:val="Balloon Text"/>
    <w:basedOn w:val="Normal"/>
    <w:link w:val="BalloonTextChar"/>
    <w:uiPriority w:val="99"/>
    <w:semiHidden/>
    <w:rsid w:val="00A2374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ED223B"/>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34"/>
    <w:qFormat/>
    <w:rsid w:val="00D06A8A"/>
    <w:pPr>
      <w:ind w:left="720"/>
    </w:pPr>
  </w:style>
  <w:style w:type="paragraph" w:styleId="Header">
    <w:name w:val="header"/>
    <w:aliases w:val="Header/Footer"/>
    <w:basedOn w:val="Normal"/>
    <w:link w:val="HeaderChar"/>
    <w:uiPriority w:val="99"/>
    <w:rsid w:val="00F9165A"/>
    <w:pPr>
      <w:tabs>
        <w:tab w:val="center" w:pos="4680"/>
        <w:tab w:val="right" w:pos="9360"/>
      </w:tabs>
      <w:spacing w:after="0" w:line="240" w:lineRule="auto"/>
    </w:p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rPr>
      <w:sz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uiPriority w:val="10"/>
    <w:qFormat/>
    <w:locked/>
    <w:rsid w:val="00200D7E"/>
    <w:pPr>
      <w:spacing w:before="720"/>
    </w:pPr>
    <w:rPr>
      <w:rFonts w:ascii="Calibri Light" w:hAnsi="Calibri Light"/>
      <w:color w:val="4F81BD" w:themeColor="accent1"/>
      <w:spacing w:val="10"/>
      <w:kern w:val="28"/>
      <w:sz w:val="52"/>
      <w:szCs w:val="52"/>
    </w:rPr>
  </w:style>
  <w:style w:type="character" w:customStyle="1" w:styleId="TitleChar">
    <w:name w:val="Title Char"/>
    <w:basedOn w:val="DefaultParagraphFont"/>
    <w:link w:val="Title"/>
    <w:uiPriority w:val="10"/>
    <w:rsid w:val="00200D7E"/>
    <w:rPr>
      <w:rFonts w:ascii="Calibri Light" w:hAnsi="Calibri Light"/>
      <w:color w:val="4F81BD" w:themeColor="accent1"/>
      <w:spacing w:val="10"/>
      <w:kern w:val="28"/>
      <w:sz w:val="52"/>
      <w:szCs w:val="52"/>
    </w:rPr>
  </w:style>
  <w:style w:type="paragraph" w:customStyle="1" w:styleId="MemoHeading">
    <w:name w:val="MemoHeading"/>
    <w:basedOn w:val="Normal"/>
    <w:qFormat/>
    <w:rsid w:val="00200D7E"/>
    <w:pPr>
      <w:spacing w:after="0"/>
    </w:pPr>
    <w:rPr>
      <w:szCs w:val="24"/>
    </w:rPr>
  </w:style>
  <w:style w:type="paragraph" w:styleId="TOC1">
    <w:name w:val="toc 1"/>
    <w:basedOn w:val="Normal"/>
    <w:next w:val="Normal"/>
    <w:autoRedefine/>
    <w:locked/>
    <w:rsid w:val="009F7C3D"/>
    <w:pPr>
      <w:spacing w:after="100"/>
    </w:pPr>
  </w:style>
  <w:style w:type="character" w:customStyle="1" w:styleId="Heading4Char">
    <w:name w:val="Heading 4 Char"/>
    <w:basedOn w:val="DefaultParagraphFont"/>
    <w:link w:val="Heading4"/>
    <w:uiPriority w:val="9"/>
    <w:rsid w:val="00ED223B"/>
    <w:rPr>
      <w:rFonts w:ascii="Calibri Light" w:hAnsi="Calibri Light"/>
      <w:caps/>
      <w:color w:val="365F91" w:themeColor="accent1" w:themeShade="BF"/>
      <w:spacing w:val="10"/>
    </w:rPr>
  </w:style>
  <w:style w:type="paragraph" w:styleId="Subtitle">
    <w:name w:val="Subtitle"/>
    <w:basedOn w:val="Normal"/>
    <w:next w:val="Normal"/>
    <w:link w:val="SubtitleChar"/>
    <w:uiPriority w:val="11"/>
    <w:qFormat/>
    <w:locked/>
    <w:rsid w:val="00200D7E"/>
    <w:pPr>
      <w:spacing w:after="1000" w:line="240" w:lineRule="auto"/>
    </w:pPr>
    <w:rPr>
      <w:rFonts w:ascii="Calibri Light" w:hAnsi="Calibri Light"/>
      <w:caps/>
      <w:color w:val="595959" w:themeColor="text1" w:themeTint="A6"/>
      <w:spacing w:val="10"/>
      <w:sz w:val="24"/>
      <w:szCs w:val="24"/>
    </w:rPr>
  </w:style>
  <w:style w:type="character" w:customStyle="1" w:styleId="SubtitleChar">
    <w:name w:val="Subtitle Char"/>
    <w:basedOn w:val="DefaultParagraphFont"/>
    <w:link w:val="Subtitle"/>
    <w:uiPriority w:val="11"/>
    <w:rsid w:val="00200D7E"/>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rsid w:val="00ED223B"/>
    <w:rPr>
      <w:caps/>
      <w:color w:val="365F91" w:themeColor="accent1" w:themeShade="BF"/>
      <w:spacing w:val="10"/>
    </w:rPr>
  </w:style>
  <w:style w:type="character" w:customStyle="1" w:styleId="Heading7Char">
    <w:name w:val="Heading 7 Char"/>
    <w:basedOn w:val="DefaultParagraphFont"/>
    <w:link w:val="Heading7"/>
    <w:uiPriority w:val="9"/>
    <w:rsid w:val="00200D7E"/>
    <w:rPr>
      <w:caps/>
      <w:color w:val="365F91" w:themeColor="accent1" w:themeShade="BF"/>
      <w:spacing w:val="10"/>
    </w:rPr>
  </w:style>
  <w:style w:type="character" w:customStyle="1" w:styleId="Heading8Char">
    <w:name w:val="Heading 8 Char"/>
    <w:basedOn w:val="DefaultParagraphFont"/>
    <w:link w:val="Heading8"/>
    <w:uiPriority w:val="9"/>
    <w:rsid w:val="00200D7E"/>
    <w:rPr>
      <w:caps/>
      <w:spacing w:val="10"/>
      <w:sz w:val="18"/>
      <w:szCs w:val="18"/>
    </w:rPr>
  </w:style>
  <w:style w:type="character" w:customStyle="1" w:styleId="Heading9Char">
    <w:name w:val="Heading 9 Char"/>
    <w:basedOn w:val="DefaultParagraphFont"/>
    <w:link w:val="Heading9"/>
    <w:uiPriority w:val="9"/>
    <w:semiHidden/>
    <w:rsid w:val="00200D7E"/>
    <w:rPr>
      <w:i/>
      <w:caps/>
      <w:spacing w:val="10"/>
      <w:sz w:val="18"/>
      <w:szCs w:val="18"/>
    </w:rPr>
  </w:style>
  <w:style w:type="paragraph" w:styleId="Caption">
    <w:name w:val="caption"/>
    <w:basedOn w:val="Normal"/>
    <w:next w:val="Normal"/>
    <w:uiPriority w:val="35"/>
    <w:unhideWhenUsed/>
    <w:qFormat/>
    <w:locked/>
    <w:rsid w:val="00200D7E"/>
    <w:rPr>
      <w:b/>
      <w:bCs/>
      <w:color w:val="365F91" w:themeColor="accent1" w:themeShade="BF"/>
      <w:sz w:val="16"/>
      <w:szCs w:val="16"/>
    </w:rPr>
  </w:style>
  <w:style w:type="character" w:styleId="Strong">
    <w:name w:val="Strong"/>
    <w:uiPriority w:val="22"/>
    <w:qFormat/>
    <w:locked/>
    <w:rsid w:val="00200D7E"/>
    <w:rPr>
      <w:b/>
      <w:bCs/>
    </w:rPr>
  </w:style>
  <w:style w:type="character" w:styleId="Emphasis">
    <w:name w:val="Emphasis"/>
    <w:uiPriority w:val="20"/>
    <w:qFormat/>
    <w:locked/>
    <w:rsid w:val="00200D7E"/>
    <w:rPr>
      <w:caps/>
      <w:color w:val="243F60" w:themeColor="accent1" w:themeShade="7F"/>
      <w:spacing w:val="5"/>
    </w:rPr>
  </w:style>
  <w:style w:type="paragraph" w:styleId="NoSpacing">
    <w:name w:val="No Spacing"/>
    <w:basedOn w:val="Normal"/>
    <w:link w:val="NoSpacingChar"/>
    <w:uiPriority w:val="1"/>
    <w:qFormat/>
    <w:rsid w:val="00200D7E"/>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200D7E"/>
    <w:rPr>
      <w:sz w:val="20"/>
      <w:szCs w:val="20"/>
    </w:rPr>
  </w:style>
  <w:style w:type="paragraph" w:styleId="Quote">
    <w:name w:val="Quote"/>
    <w:basedOn w:val="Normal"/>
    <w:next w:val="Normal"/>
    <w:link w:val="QuoteChar"/>
    <w:uiPriority w:val="29"/>
    <w:qFormat/>
    <w:rsid w:val="00200D7E"/>
    <w:rPr>
      <w:rFonts w:asciiTheme="minorHAnsi" w:hAnsiTheme="minorHAnsi"/>
      <w:i/>
      <w:iCs/>
      <w:sz w:val="20"/>
    </w:rPr>
  </w:style>
  <w:style w:type="character" w:customStyle="1" w:styleId="QuoteChar">
    <w:name w:val="Quote Char"/>
    <w:basedOn w:val="DefaultParagraphFont"/>
    <w:link w:val="Quote"/>
    <w:uiPriority w:val="29"/>
    <w:rsid w:val="00200D7E"/>
    <w:rPr>
      <w:i/>
      <w:iCs/>
      <w:sz w:val="20"/>
      <w:szCs w:val="20"/>
    </w:rPr>
  </w:style>
  <w:style w:type="paragraph" w:styleId="IntenseQuote">
    <w:name w:val="Intense Quote"/>
    <w:basedOn w:val="Normal"/>
    <w:next w:val="Normal"/>
    <w:link w:val="IntenseQuoteChar"/>
    <w:uiPriority w:val="30"/>
    <w:qFormat/>
    <w:rsid w:val="00200D7E"/>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200D7E"/>
    <w:rPr>
      <w:i/>
      <w:iCs/>
      <w:color w:val="4F81BD" w:themeColor="accent1"/>
      <w:sz w:val="20"/>
      <w:szCs w:val="20"/>
    </w:rPr>
  </w:style>
  <w:style w:type="character" w:styleId="SubtleEmphasis">
    <w:name w:val="Subtle Emphasis"/>
    <w:uiPriority w:val="19"/>
    <w:qFormat/>
    <w:rsid w:val="00200D7E"/>
    <w:rPr>
      <w:i/>
      <w:iCs/>
      <w:color w:val="243F60" w:themeColor="accent1" w:themeShade="7F"/>
    </w:rPr>
  </w:style>
  <w:style w:type="character" w:styleId="IntenseEmphasis">
    <w:name w:val="Intense Emphasis"/>
    <w:uiPriority w:val="21"/>
    <w:qFormat/>
    <w:rsid w:val="00200D7E"/>
    <w:rPr>
      <w:b/>
      <w:bCs/>
      <w:caps/>
      <w:color w:val="243F60" w:themeColor="accent1" w:themeShade="7F"/>
      <w:spacing w:val="10"/>
    </w:rPr>
  </w:style>
  <w:style w:type="character" w:styleId="SubtleReference">
    <w:name w:val="Subtle Reference"/>
    <w:uiPriority w:val="31"/>
    <w:qFormat/>
    <w:rsid w:val="00200D7E"/>
    <w:rPr>
      <w:b/>
      <w:bCs/>
      <w:color w:val="4F81BD" w:themeColor="accent1"/>
    </w:rPr>
  </w:style>
  <w:style w:type="character" w:styleId="IntenseReference">
    <w:name w:val="Intense Reference"/>
    <w:uiPriority w:val="32"/>
    <w:qFormat/>
    <w:rsid w:val="00200D7E"/>
    <w:rPr>
      <w:b/>
      <w:bCs/>
      <w:i/>
      <w:iCs/>
      <w:caps/>
      <w:color w:val="4F81BD" w:themeColor="accent1"/>
    </w:rPr>
  </w:style>
  <w:style w:type="character" w:styleId="BookTitle">
    <w:name w:val="Book Title"/>
    <w:uiPriority w:val="33"/>
    <w:qFormat/>
    <w:rsid w:val="00200D7E"/>
    <w:rPr>
      <w:b/>
      <w:bCs/>
      <w:i/>
      <w:iCs/>
      <w:spacing w:val="9"/>
    </w:rPr>
  </w:style>
  <w:style w:type="paragraph" w:styleId="TOCHeading">
    <w:name w:val="TOC Heading"/>
    <w:basedOn w:val="Heading1"/>
    <w:next w:val="Normal"/>
    <w:uiPriority w:val="39"/>
    <w:semiHidden/>
    <w:unhideWhenUsed/>
    <w:qFormat/>
    <w:rsid w:val="00200D7E"/>
    <w:pPr>
      <w:outlineLvl w:val="9"/>
    </w:pPr>
    <w:rPr>
      <w:lang w:bidi="en-US"/>
    </w:rPr>
  </w:style>
  <w:style w:type="table" w:styleId="TableGrid">
    <w:name w:val="Table Grid"/>
    <w:basedOn w:val="TableNormal"/>
    <w:locked/>
    <w:rsid w:val="005808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586"/>
    <w:rPr>
      <w:color w:val="0000FF" w:themeColor="hyperlink"/>
      <w:u w:val="single"/>
    </w:rPr>
  </w:style>
  <w:style w:type="character" w:customStyle="1" w:styleId="apple-converted-space">
    <w:name w:val="apple-converted-space"/>
    <w:basedOn w:val="DefaultParagraphFont"/>
    <w:rsid w:val="00D04874"/>
  </w:style>
  <w:style w:type="paragraph" w:customStyle="1" w:styleId="Default">
    <w:name w:val="Default"/>
    <w:rsid w:val="0053297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8135339">
      <w:bodyDiv w:val="1"/>
      <w:marLeft w:val="0"/>
      <w:marRight w:val="0"/>
      <w:marTop w:val="0"/>
      <w:marBottom w:val="0"/>
      <w:divBdr>
        <w:top w:val="none" w:sz="0" w:space="0" w:color="auto"/>
        <w:left w:val="none" w:sz="0" w:space="0" w:color="auto"/>
        <w:bottom w:val="none" w:sz="0" w:space="0" w:color="auto"/>
        <w:right w:val="none" w:sz="0" w:space="0" w:color="auto"/>
      </w:divBdr>
    </w:div>
    <w:div w:id="90706717">
      <w:bodyDiv w:val="1"/>
      <w:marLeft w:val="0"/>
      <w:marRight w:val="0"/>
      <w:marTop w:val="0"/>
      <w:marBottom w:val="0"/>
      <w:divBdr>
        <w:top w:val="none" w:sz="0" w:space="0" w:color="auto"/>
        <w:left w:val="none" w:sz="0" w:space="0" w:color="auto"/>
        <w:bottom w:val="none" w:sz="0" w:space="0" w:color="auto"/>
        <w:right w:val="none" w:sz="0" w:space="0" w:color="auto"/>
      </w:divBdr>
    </w:div>
    <w:div w:id="716970583">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014001%20Multnomah%20County%20Land%20Use%20Consultant\Templates\MCCPU_Styl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Land in Farms, 2012 by Land Use</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3175">
                      <a:noFill/>
                    </a:ln>
                    <a:solidFill>
                      <a:schemeClr val="bg1"/>
                    </a:solidFill>
                    <a:latin typeface="+mn-lt"/>
                    <a:ea typeface="+mn-ea"/>
                    <a:cs typeface="+mn-cs"/>
                  </a:defRPr>
                </a:pPr>
                <a:endParaRPr lang="en-US"/>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4"/>
                <c:pt idx="0">
                  <c:v>Cropland</c:v>
                </c:pt>
                <c:pt idx="1">
                  <c:v>Pastureland</c:v>
                </c:pt>
                <c:pt idx="2">
                  <c:v>Woodland</c:v>
                </c:pt>
                <c:pt idx="3">
                  <c:v>Other Uses</c:v>
                </c:pt>
              </c:strCache>
            </c:strRef>
          </c:cat>
          <c:val>
            <c:numRef>
              <c:f>Sheet1!$B$2:$B$5</c:f>
              <c:numCache>
                <c:formatCode>General</c:formatCode>
                <c:ptCount val="4"/>
                <c:pt idx="0">
                  <c:v>58.2</c:v>
                </c:pt>
                <c:pt idx="1">
                  <c:v>17.899999999999999</c:v>
                </c:pt>
                <c:pt idx="2">
                  <c:v>15</c:v>
                </c:pt>
                <c:pt idx="3">
                  <c:v>9</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AF20-72C4-474F-BE24-3F5F2BE7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MCCPU_Style</Template>
  <TotalTime>0</TotalTime>
  <Pages>5</Pages>
  <Words>1255</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Bend UGB Remand Memo Template</vt:lpstr>
    </vt:vector>
  </TitlesOfParts>
  <Company>HP</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UGB Remand Memo Template</dc:title>
  <dc:creator>Cathy</dc:creator>
  <cp:lastModifiedBy>Rich Faith</cp:lastModifiedBy>
  <cp:revision>2</cp:revision>
  <cp:lastPrinted>2015-12-02T20:26:00Z</cp:lastPrinted>
  <dcterms:created xsi:type="dcterms:W3CDTF">2016-01-11T23:32:00Z</dcterms:created>
  <dcterms:modified xsi:type="dcterms:W3CDTF">2016-01-11T23:32:00Z</dcterms:modified>
</cp:coreProperties>
</file>