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1C3" w:rsidRDefault="00BF11C3">
      <w:pPr>
        <w:pStyle w:val="BodyText"/>
        <w:spacing w:before="0"/>
      </w:pPr>
      <w:bookmarkStart w:id="0" w:name="_GoBack"/>
      <w:bookmarkEnd w:id="0"/>
    </w:p>
    <w:p w:rsidR="00BF11C3" w:rsidRDefault="00BF11C3">
      <w:pPr>
        <w:pStyle w:val="BodyText"/>
        <w:spacing w:before="2"/>
        <w:rPr>
          <w:sz w:val="19"/>
        </w:rPr>
      </w:pPr>
    </w:p>
    <w:p w:rsidR="00BF11C3" w:rsidRDefault="001E794C">
      <w:pPr>
        <w:pStyle w:val="Heading1"/>
        <w:ind w:left="3117" w:firstLine="736"/>
      </w:pPr>
      <w:r>
        <w:rPr>
          <w:noProof/>
          <w:lang w:bidi="ar-SA"/>
        </w:rPr>
        <w:drawing>
          <wp:anchor distT="0" distB="0" distL="0" distR="0" simplePos="0" relativeHeight="251658240" behindDoc="0" locked="0" layoutInCell="1" allowOverlap="1">
            <wp:simplePos x="0" y="0"/>
            <wp:positionH relativeFrom="page">
              <wp:posOffset>647700</wp:posOffset>
            </wp:positionH>
            <wp:positionV relativeFrom="paragraph">
              <wp:posOffset>-7063</wp:posOffset>
            </wp:positionV>
            <wp:extent cx="1367443" cy="6838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67443" cy="683895"/>
                    </a:xfrm>
                    <a:prstGeom prst="rect">
                      <a:avLst/>
                    </a:prstGeom>
                  </pic:spPr>
                </pic:pic>
              </a:graphicData>
            </a:graphic>
          </wp:anchor>
        </w:drawing>
      </w:r>
      <w:r>
        <w:t>U. S. SMALL BUSINESS ADMINISTRATION FACT SHEET – ECONOMIC INJURY DISASTER</w:t>
      </w:r>
      <w:r>
        <w:rPr>
          <w:spacing w:val="-13"/>
        </w:rPr>
        <w:t xml:space="preserve"> </w:t>
      </w:r>
      <w:r>
        <w:t>LOANS</w:t>
      </w:r>
    </w:p>
    <w:p w:rsidR="00BF11C3" w:rsidRDefault="00BF11C3">
      <w:pPr>
        <w:pStyle w:val="BodyText"/>
        <w:spacing w:before="4"/>
        <w:rPr>
          <w:b/>
          <w:sz w:val="22"/>
        </w:rPr>
      </w:pPr>
    </w:p>
    <w:p w:rsidR="00BF11C3" w:rsidRDefault="00BF11C3">
      <w:pPr>
        <w:pStyle w:val="BodyText"/>
        <w:spacing w:before="7"/>
        <w:rPr>
          <w:b/>
          <w:i/>
          <w:sz w:val="9"/>
        </w:rPr>
      </w:pPr>
    </w:p>
    <w:p w:rsidR="00B227B1" w:rsidRDefault="00B227B1">
      <w:pPr>
        <w:pStyle w:val="Heading3"/>
        <w:spacing w:before="94"/>
      </w:pPr>
    </w:p>
    <w:p w:rsidR="00BF11C3" w:rsidRPr="00B227B1" w:rsidRDefault="001E794C">
      <w:pPr>
        <w:pStyle w:val="Heading3"/>
        <w:spacing w:before="94"/>
        <w:rPr>
          <w:sz w:val="23"/>
          <w:szCs w:val="23"/>
        </w:rPr>
      </w:pPr>
      <w:r w:rsidRPr="00B227B1">
        <w:rPr>
          <w:sz w:val="23"/>
          <w:szCs w:val="23"/>
        </w:rPr>
        <w:t>Disaster Loan Assistance Available:</w:t>
      </w:r>
    </w:p>
    <w:p w:rsidR="00BF11C3" w:rsidRPr="00B227B1" w:rsidRDefault="001E794C">
      <w:pPr>
        <w:pStyle w:val="BodyText"/>
        <w:spacing w:before="4"/>
        <w:ind w:left="100" w:right="112"/>
        <w:jc w:val="both"/>
        <w:rPr>
          <w:sz w:val="23"/>
          <w:szCs w:val="23"/>
        </w:rPr>
      </w:pPr>
      <w:r w:rsidRPr="00B227B1">
        <w:rPr>
          <w:sz w:val="23"/>
          <w:szCs w:val="23"/>
          <w:u w:val="single"/>
        </w:rPr>
        <w:t>Economic Injury Disaster Loans (EIDLs)</w:t>
      </w:r>
      <w:r w:rsidRPr="00B227B1">
        <w:rPr>
          <w:sz w:val="23"/>
          <w:szCs w:val="23"/>
        </w:rPr>
        <w:t xml:space="preserve"> – Working capital loans to help small businesses, small agricultural cooperatives, </w:t>
      </w:r>
      <w:proofErr w:type="gramStart"/>
      <w:r w:rsidRPr="00B227B1">
        <w:rPr>
          <w:sz w:val="23"/>
          <w:szCs w:val="23"/>
        </w:rPr>
        <w:t>small</w:t>
      </w:r>
      <w:proofErr w:type="gramEnd"/>
      <w:r w:rsidRPr="00B227B1">
        <w:rPr>
          <w:sz w:val="23"/>
          <w:szCs w:val="23"/>
        </w:rPr>
        <w:t xml:space="preserve"> businesses engaged in aquaculture, and most private, non-profit organizations of all sizes meet their ordinary and necessary financial obligations that cannot be met as a direct result of the disaster. These loans are intended to assist through the disaster recovery period.</w:t>
      </w:r>
    </w:p>
    <w:p w:rsidR="00BF11C3" w:rsidRPr="00B227B1" w:rsidRDefault="00BF11C3">
      <w:pPr>
        <w:pStyle w:val="BodyText"/>
        <w:spacing w:before="7"/>
        <w:rPr>
          <w:sz w:val="23"/>
          <w:szCs w:val="23"/>
        </w:rPr>
      </w:pPr>
    </w:p>
    <w:p w:rsidR="00BF11C3" w:rsidRPr="00B227B1" w:rsidRDefault="001E794C">
      <w:pPr>
        <w:pStyle w:val="Heading3"/>
        <w:rPr>
          <w:sz w:val="23"/>
          <w:szCs w:val="23"/>
        </w:rPr>
      </w:pPr>
      <w:r w:rsidRPr="00B227B1">
        <w:rPr>
          <w:sz w:val="23"/>
          <w:szCs w:val="23"/>
        </w:rPr>
        <w:t>Credit Requirements:</w:t>
      </w:r>
    </w:p>
    <w:p w:rsidR="00BF11C3" w:rsidRPr="00B227B1" w:rsidRDefault="001E794C" w:rsidP="00B227B1">
      <w:pPr>
        <w:pStyle w:val="ListParagraph"/>
        <w:numPr>
          <w:ilvl w:val="0"/>
          <w:numId w:val="1"/>
        </w:numPr>
        <w:tabs>
          <w:tab w:val="left" w:pos="820"/>
          <w:tab w:val="left" w:pos="821"/>
        </w:tabs>
        <w:spacing w:before="0"/>
        <w:ind w:hanging="360"/>
        <w:rPr>
          <w:sz w:val="23"/>
          <w:szCs w:val="23"/>
          <w:u w:val="none"/>
        </w:rPr>
      </w:pPr>
      <w:r w:rsidRPr="00B227B1">
        <w:rPr>
          <w:sz w:val="23"/>
          <w:szCs w:val="23"/>
        </w:rPr>
        <w:t>Credit History</w:t>
      </w:r>
      <w:r w:rsidRPr="00B227B1">
        <w:rPr>
          <w:sz w:val="23"/>
          <w:szCs w:val="23"/>
          <w:u w:val="none"/>
        </w:rPr>
        <w:t xml:space="preserve"> – Applicants must have a credit history acceptable to</w:t>
      </w:r>
      <w:r w:rsidRPr="00B227B1">
        <w:rPr>
          <w:spacing w:val="-11"/>
          <w:sz w:val="23"/>
          <w:szCs w:val="23"/>
          <w:u w:val="none"/>
        </w:rPr>
        <w:t xml:space="preserve"> </w:t>
      </w:r>
      <w:r w:rsidRPr="00B227B1">
        <w:rPr>
          <w:sz w:val="23"/>
          <w:szCs w:val="23"/>
          <w:u w:val="none"/>
        </w:rPr>
        <w:t>SBA.</w:t>
      </w:r>
    </w:p>
    <w:p w:rsidR="00BF11C3" w:rsidRPr="00B227B1" w:rsidRDefault="001E794C" w:rsidP="00B227B1">
      <w:pPr>
        <w:pStyle w:val="ListParagraph"/>
        <w:numPr>
          <w:ilvl w:val="0"/>
          <w:numId w:val="1"/>
        </w:numPr>
        <w:tabs>
          <w:tab w:val="left" w:pos="820"/>
          <w:tab w:val="left" w:pos="821"/>
        </w:tabs>
        <w:spacing w:before="0"/>
        <w:ind w:hanging="360"/>
        <w:rPr>
          <w:sz w:val="23"/>
          <w:szCs w:val="23"/>
          <w:u w:val="none"/>
        </w:rPr>
      </w:pPr>
      <w:r w:rsidRPr="00B227B1">
        <w:rPr>
          <w:sz w:val="23"/>
          <w:szCs w:val="23"/>
        </w:rPr>
        <w:t>Repayment</w:t>
      </w:r>
      <w:r w:rsidRPr="00B227B1">
        <w:rPr>
          <w:sz w:val="23"/>
          <w:szCs w:val="23"/>
          <w:u w:val="none"/>
        </w:rPr>
        <w:t xml:space="preserve"> – Applicants must show the ability to repay the</w:t>
      </w:r>
      <w:r w:rsidRPr="00B227B1">
        <w:rPr>
          <w:spacing w:val="-13"/>
          <w:sz w:val="23"/>
          <w:szCs w:val="23"/>
          <w:u w:val="none"/>
        </w:rPr>
        <w:t xml:space="preserve"> </w:t>
      </w:r>
      <w:r w:rsidRPr="00B227B1">
        <w:rPr>
          <w:sz w:val="23"/>
          <w:szCs w:val="23"/>
          <w:u w:val="none"/>
        </w:rPr>
        <w:t>loan.</w:t>
      </w:r>
    </w:p>
    <w:p w:rsidR="00BF11C3" w:rsidRPr="00B227B1" w:rsidRDefault="001E794C" w:rsidP="00B227B1">
      <w:pPr>
        <w:pStyle w:val="ListParagraph"/>
        <w:numPr>
          <w:ilvl w:val="0"/>
          <w:numId w:val="1"/>
        </w:numPr>
        <w:tabs>
          <w:tab w:val="left" w:pos="820"/>
          <w:tab w:val="left" w:pos="821"/>
        </w:tabs>
        <w:spacing w:before="0"/>
        <w:ind w:right="110" w:hanging="360"/>
        <w:rPr>
          <w:sz w:val="23"/>
          <w:szCs w:val="23"/>
          <w:u w:val="none"/>
        </w:rPr>
      </w:pPr>
      <w:r w:rsidRPr="00B227B1">
        <w:rPr>
          <w:sz w:val="23"/>
          <w:szCs w:val="23"/>
        </w:rPr>
        <w:t>Collateral</w:t>
      </w:r>
      <w:r w:rsidRPr="00B227B1">
        <w:rPr>
          <w:sz w:val="23"/>
          <w:szCs w:val="23"/>
          <w:u w:val="none"/>
        </w:rPr>
        <w:t xml:space="preserve"> – Collateral is required for all EIDL loans over $25,000. SBA takes real estate as collateral when it is available. SBA</w:t>
      </w:r>
      <w:r w:rsidRPr="00B227B1">
        <w:rPr>
          <w:spacing w:val="-2"/>
          <w:sz w:val="23"/>
          <w:szCs w:val="23"/>
          <w:u w:val="none"/>
        </w:rPr>
        <w:t xml:space="preserve"> </w:t>
      </w:r>
      <w:r w:rsidRPr="00B227B1">
        <w:rPr>
          <w:sz w:val="23"/>
          <w:szCs w:val="23"/>
          <w:u w:val="none"/>
        </w:rPr>
        <w:t>will</w:t>
      </w:r>
      <w:r w:rsidRPr="00B227B1">
        <w:rPr>
          <w:spacing w:val="-2"/>
          <w:sz w:val="23"/>
          <w:szCs w:val="23"/>
          <w:u w:val="none"/>
        </w:rPr>
        <w:t xml:space="preserve"> </w:t>
      </w:r>
      <w:r w:rsidRPr="00B227B1">
        <w:rPr>
          <w:sz w:val="23"/>
          <w:szCs w:val="23"/>
          <w:u w:val="none"/>
        </w:rPr>
        <w:t>not</w:t>
      </w:r>
      <w:r w:rsidRPr="00B227B1">
        <w:rPr>
          <w:spacing w:val="-2"/>
          <w:sz w:val="23"/>
          <w:szCs w:val="23"/>
          <w:u w:val="none"/>
        </w:rPr>
        <w:t xml:space="preserve"> </w:t>
      </w:r>
      <w:r w:rsidRPr="00B227B1">
        <w:rPr>
          <w:sz w:val="23"/>
          <w:szCs w:val="23"/>
          <w:u w:val="none"/>
        </w:rPr>
        <w:t>decline</w:t>
      </w:r>
      <w:r w:rsidRPr="00B227B1">
        <w:rPr>
          <w:spacing w:val="-4"/>
          <w:sz w:val="23"/>
          <w:szCs w:val="23"/>
          <w:u w:val="none"/>
        </w:rPr>
        <w:t xml:space="preserve"> </w:t>
      </w:r>
      <w:r w:rsidRPr="00B227B1">
        <w:rPr>
          <w:sz w:val="23"/>
          <w:szCs w:val="23"/>
          <w:u w:val="none"/>
        </w:rPr>
        <w:t>a</w:t>
      </w:r>
      <w:r w:rsidRPr="00B227B1">
        <w:rPr>
          <w:spacing w:val="-2"/>
          <w:sz w:val="23"/>
          <w:szCs w:val="23"/>
          <w:u w:val="none"/>
        </w:rPr>
        <w:t xml:space="preserve"> </w:t>
      </w:r>
      <w:r w:rsidRPr="00B227B1">
        <w:rPr>
          <w:sz w:val="23"/>
          <w:szCs w:val="23"/>
          <w:u w:val="none"/>
        </w:rPr>
        <w:t>loan</w:t>
      </w:r>
      <w:r w:rsidRPr="00B227B1">
        <w:rPr>
          <w:spacing w:val="-2"/>
          <w:sz w:val="23"/>
          <w:szCs w:val="23"/>
          <w:u w:val="none"/>
        </w:rPr>
        <w:t xml:space="preserve"> </w:t>
      </w:r>
      <w:r w:rsidRPr="00B227B1">
        <w:rPr>
          <w:sz w:val="23"/>
          <w:szCs w:val="23"/>
          <w:u w:val="none"/>
        </w:rPr>
        <w:t>for</w:t>
      </w:r>
      <w:r w:rsidRPr="00B227B1">
        <w:rPr>
          <w:spacing w:val="-4"/>
          <w:sz w:val="23"/>
          <w:szCs w:val="23"/>
          <w:u w:val="none"/>
        </w:rPr>
        <w:t xml:space="preserve"> </w:t>
      </w:r>
      <w:r w:rsidRPr="00B227B1">
        <w:rPr>
          <w:sz w:val="23"/>
          <w:szCs w:val="23"/>
          <w:u w:val="none"/>
        </w:rPr>
        <w:t>lack</w:t>
      </w:r>
      <w:r w:rsidRPr="00B227B1">
        <w:rPr>
          <w:spacing w:val="-1"/>
          <w:sz w:val="23"/>
          <w:szCs w:val="23"/>
          <w:u w:val="none"/>
        </w:rPr>
        <w:t xml:space="preserve"> </w:t>
      </w:r>
      <w:r w:rsidRPr="00B227B1">
        <w:rPr>
          <w:sz w:val="23"/>
          <w:szCs w:val="23"/>
          <w:u w:val="none"/>
        </w:rPr>
        <w:t>of</w:t>
      </w:r>
      <w:r w:rsidRPr="00B227B1">
        <w:rPr>
          <w:spacing w:val="-4"/>
          <w:sz w:val="23"/>
          <w:szCs w:val="23"/>
          <w:u w:val="none"/>
        </w:rPr>
        <w:t xml:space="preserve"> </w:t>
      </w:r>
      <w:r w:rsidRPr="00B227B1">
        <w:rPr>
          <w:sz w:val="23"/>
          <w:szCs w:val="23"/>
          <w:u w:val="none"/>
        </w:rPr>
        <w:t>collateral,</w:t>
      </w:r>
      <w:r w:rsidRPr="00B227B1">
        <w:rPr>
          <w:spacing w:val="-4"/>
          <w:sz w:val="23"/>
          <w:szCs w:val="23"/>
          <w:u w:val="none"/>
        </w:rPr>
        <w:t xml:space="preserve"> </w:t>
      </w:r>
      <w:r w:rsidRPr="00B227B1">
        <w:rPr>
          <w:sz w:val="23"/>
          <w:szCs w:val="23"/>
          <w:u w:val="none"/>
        </w:rPr>
        <w:t>but</w:t>
      </w:r>
      <w:r w:rsidRPr="00B227B1">
        <w:rPr>
          <w:spacing w:val="-2"/>
          <w:sz w:val="23"/>
          <w:szCs w:val="23"/>
          <w:u w:val="none"/>
        </w:rPr>
        <w:t xml:space="preserve"> </w:t>
      </w:r>
      <w:r w:rsidRPr="00B227B1">
        <w:rPr>
          <w:sz w:val="23"/>
          <w:szCs w:val="23"/>
          <w:u w:val="none"/>
        </w:rPr>
        <w:t>SBA</w:t>
      </w:r>
      <w:r w:rsidRPr="00B227B1">
        <w:rPr>
          <w:spacing w:val="-5"/>
          <w:sz w:val="23"/>
          <w:szCs w:val="23"/>
          <w:u w:val="none"/>
        </w:rPr>
        <w:t xml:space="preserve"> </w:t>
      </w:r>
      <w:r w:rsidRPr="00B227B1">
        <w:rPr>
          <w:sz w:val="23"/>
          <w:szCs w:val="23"/>
          <w:u w:val="none"/>
        </w:rPr>
        <w:t>will</w:t>
      </w:r>
      <w:r w:rsidRPr="00B227B1">
        <w:rPr>
          <w:spacing w:val="-4"/>
          <w:sz w:val="23"/>
          <w:szCs w:val="23"/>
          <w:u w:val="none"/>
        </w:rPr>
        <w:t xml:space="preserve"> </w:t>
      </w:r>
      <w:r w:rsidRPr="00B227B1">
        <w:rPr>
          <w:sz w:val="23"/>
          <w:szCs w:val="23"/>
          <w:u w:val="none"/>
        </w:rPr>
        <w:t>require</w:t>
      </w:r>
      <w:r w:rsidRPr="00B227B1">
        <w:rPr>
          <w:spacing w:val="5"/>
          <w:sz w:val="23"/>
          <w:szCs w:val="23"/>
          <w:u w:val="none"/>
        </w:rPr>
        <w:t xml:space="preserve"> </w:t>
      </w:r>
      <w:r w:rsidRPr="00B227B1">
        <w:rPr>
          <w:sz w:val="23"/>
          <w:szCs w:val="23"/>
          <w:u w:val="none"/>
        </w:rPr>
        <w:t>the</w:t>
      </w:r>
      <w:r w:rsidRPr="00B227B1">
        <w:rPr>
          <w:spacing w:val="-4"/>
          <w:sz w:val="23"/>
          <w:szCs w:val="23"/>
          <w:u w:val="none"/>
        </w:rPr>
        <w:t xml:space="preserve"> </w:t>
      </w:r>
      <w:r w:rsidRPr="00B227B1">
        <w:rPr>
          <w:sz w:val="23"/>
          <w:szCs w:val="23"/>
          <w:u w:val="none"/>
        </w:rPr>
        <w:t>borrower</w:t>
      </w:r>
      <w:r w:rsidRPr="00B227B1">
        <w:rPr>
          <w:spacing w:val="-2"/>
          <w:sz w:val="23"/>
          <w:szCs w:val="23"/>
          <w:u w:val="none"/>
        </w:rPr>
        <w:t xml:space="preserve"> </w:t>
      </w:r>
      <w:r w:rsidRPr="00B227B1">
        <w:rPr>
          <w:sz w:val="23"/>
          <w:szCs w:val="23"/>
          <w:u w:val="none"/>
        </w:rPr>
        <w:t>to</w:t>
      </w:r>
      <w:r w:rsidRPr="00B227B1">
        <w:rPr>
          <w:spacing w:val="-4"/>
          <w:sz w:val="23"/>
          <w:szCs w:val="23"/>
          <w:u w:val="none"/>
        </w:rPr>
        <w:t xml:space="preserve"> </w:t>
      </w:r>
      <w:r w:rsidRPr="00B227B1">
        <w:rPr>
          <w:sz w:val="23"/>
          <w:szCs w:val="23"/>
          <w:u w:val="none"/>
        </w:rPr>
        <w:t>pledge</w:t>
      </w:r>
      <w:r w:rsidRPr="00B227B1">
        <w:rPr>
          <w:spacing w:val="-4"/>
          <w:sz w:val="23"/>
          <w:szCs w:val="23"/>
          <w:u w:val="none"/>
        </w:rPr>
        <w:t xml:space="preserve"> </w:t>
      </w:r>
      <w:r w:rsidRPr="00B227B1">
        <w:rPr>
          <w:sz w:val="23"/>
          <w:szCs w:val="23"/>
          <w:u w:val="none"/>
        </w:rPr>
        <w:t>collateral</w:t>
      </w:r>
      <w:r w:rsidRPr="00B227B1">
        <w:rPr>
          <w:spacing w:val="-2"/>
          <w:sz w:val="23"/>
          <w:szCs w:val="23"/>
          <w:u w:val="none"/>
        </w:rPr>
        <w:t xml:space="preserve"> </w:t>
      </w:r>
      <w:r w:rsidRPr="00B227B1">
        <w:rPr>
          <w:sz w:val="23"/>
          <w:szCs w:val="23"/>
          <w:u w:val="none"/>
        </w:rPr>
        <w:t>that</w:t>
      </w:r>
      <w:r w:rsidRPr="00B227B1">
        <w:rPr>
          <w:spacing w:val="-4"/>
          <w:sz w:val="23"/>
          <w:szCs w:val="23"/>
          <w:u w:val="none"/>
        </w:rPr>
        <w:t xml:space="preserve"> </w:t>
      </w:r>
      <w:r w:rsidRPr="00B227B1">
        <w:rPr>
          <w:sz w:val="23"/>
          <w:szCs w:val="23"/>
          <w:u w:val="none"/>
        </w:rPr>
        <w:t>is</w:t>
      </w:r>
      <w:r w:rsidRPr="00B227B1">
        <w:rPr>
          <w:spacing w:val="-1"/>
          <w:sz w:val="23"/>
          <w:szCs w:val="23"/>
          <w:u w:val="none"/>
        </w:rPr>
        <w:t xml:space="preserve"> </w:t>
      </w:r>
      <w:r w:rsidRPr="00B227B1">
        <w:rPr>
          <w:sz w:val="23"/>
          <w:szCs w:val="23"/>
          <w:u w:val="none"/>
        </w:rPr>
        <w:t>available.</w:t>
      </w:r>
    </w:p>
    <w:p w:rsidR="00BF11C3" w:rsidRPr="00B227B1" w:rsidRDefault="00BF11C3">
      <w:pPr>
        <w:pStyle w:val="BodyText"/>
        <w:rPr>
          <w:sz w:val="23"/>
          <w:szCs w:val="23"/>
        </w:rPr>
      </w:pPr>
    </w:p>
    <w:p w:rsidR="00BF11C3" w:rsidRPr="00B227B1" w:rsidRDefault="001E794C">
      <w:pPr>
        <w:pStyle w:val="Heading3"/>
        <w:rPr>
          <w:sz w:val="23"/>
          <w:szCs w:val="23"/>
        </w:rPr>
      </w:pPr>
      <w:r w:rsidRPr="00B227B1">
        <w:rPr>
          <w:sz w:val="23"/>
          <w:szCs w:val="23"/>
        </w:rPr>
        <w:t>Interest Rates:</w:t>
      </w:r>
    </w:p>
    <w:p w:rsidR="00BF11C3" w:rsidRPr="00B227B1" w:rsidRDefault="001E794C">
      <w:pPr>
        <w:pStyle w:val="BodyText"/>
        <w:spacing w:before="6"/>
        <w:ind w:left="100" w:right="363"/>
        <w:rPr>
          <w:sz w:val="23"/>
          <w:szCs w:val="23"/>
        </w:rPr>
      </w:pPr>
      <w:r w:rsidRPr="00B227B1">
        <w:rPr>
          <w:sz w:val="23"/>
          <w:szCs w:val="23"/>
        </w:rPr>
        <w:t>The interest rate is determined by formulas set by law and is fixed for the life of the loan. The maximum interest rat</w:t>
      </w:r>
      <w:r w:rsidR="00B227B1">
        <w:rPr>
          <w:sz w:val="23"/>
          <w:szCs w:val="23"/>
        </w:rPr>
        <w:t xml:space="preserve">e for this </w:t>
      </w:r>
      <w:r w:rsidRPr="00B227B1">
        <w:rPr>
          <w:sz w:val="23"/>
          <w:szCs w:val="23"/>
        </w:rPr>
        <w:t>program is 4</w:t>
      </w:r>
      <w:r w:rsidRPr="00B227B1">
        <w:rPr>
          <w:spacing w:val="-1"/>
          <w:sz w:val="23"/>
          <w:szCs w:val="23"/>
        </w:rPr>
        <w:t xml:space="preserve"> </w:t>
      </w:r>
      <w:r w:rsidRPr="00B227B1">
        <w:rPr>
          <w:sz w:val="23"/>
          <w:szCs w:val="23"/>
        </w:rPr>
        <w:t>percent.</w:t>
      </w:r>
    </w:p>
    <w:p w:rsidR="00BF11C3" w:rsidRPr="00B227B1" w:rsidRDefault="00BF11C3">
      <w:pPr>
        <w:pStyle w:val="BodyText"/>
        <w:spacing w:before="5"/>
        <w:rPr>
          <w:sz w:val="23"/>
          <w:szCs w:val="23"/>
        </w:rPr>
      </w:pPr>
    </w:p>
    <w:p w:rsidR="00BF11C3" w:rsidRPr="00B227B1" w:rsidRDefault="001E794C">
      <w:pPr>
        <w:pStyle w:val="Heading3"/>
        <w:rPr>
          <w:sz w:val="23"/>
          <w:szCs w:val="23"/>
        </w:rPr>
      </w:pPr>
      <w:r w:rsidRPr="00B227B1">
        <w:rPr>
          <w:sz w:val="23"/>
          <w:szCs w:val="23"/>
        </w:rPr>
        <w:t>Loan Terms:</w:t>
      </w:r>
    </w:p>
    <w:p w:rsidR="00BF11C3" w:rsidRPr="00B227B1" w:rsidRDefault="001E794C">
      <w:pPr>
        <w:pStyle w:val="BodyText"/>
        <w:spacing w:before="7"/>
        <w:ind w:left="100"/>
        <w:rPr>
          <w:sz w:val="23"/>
          <w:szCs w:val="23"/>
        </w:rPr>
      </w:pPr>
      <w:r w:rsidRPr="00B227B1">
        <w:rPr>
          <w:sz w:val="23"/>
          <w:szCs w:val="23"/>
        </w:rPr>
        <w:t>The law authorizes loan terms up to a maximum of 30 years. SBA will determine an appropriate installment payment based on the financial condition of each borrower, which in turn will determine the loan term.</w:t>
      </w:r>
    </w:p>
    <w:p w:rsidR="00BF11C3" w:rsidRPr="00B227B1" w:rsidRDefault="00BF11C3">
      <w:pPr>
        <w:pStyle w:val="BodyText"/>
        <w:spacing w:before="5"/>
        <w:rPr>
          <w:sz w:val="23"/>
          <w:szCs w:val="23"/>
        </w:rPr>
      </w:pPr>
    </w:p>
    <w:p w:rsidR="00BF11C3" w:rsidRPr="00B227B1" w:rsidRDefault="001E794C">
      <w:pPr>
        <w:pStyle w:val="Heading3"/>
        <w:rPr>
          <w:sz w:val="23"/>
          <w:szCs w:val="23"/>
        </w:rPr>
      </w:pPr>
      <w:r w:rsidRPr="00B227B1">
        <w:rPr>
          <w:sz w:val="23"/>
          <w:szCs w:val="23"/>
        </w:rPr>
        <w:t>Loan Amount Limit:</w:t>
      </w:r>
    </w:p>
    <w:p w:rsidR="00BF11C3" w:rsidRPr="00B227B1" w:rsidRDefault="001E794C">
      <w:pPr>
        <w:pStyle w:val="BodyText"/>
        <w:spacing w:before="7"/>
        <w:ind w:left="100" w:right="113"/>
        <w:jc w:val="both"/>
        <w:rPr>
          <w:sz w:val="23"/>
          <w:szCs w:val="23"/>
        </w:rPr>
      </w:pPr>
      <w:r w:rsidRPr="00B227B1">
        <w:rPr>
          <w:sz w:val="23"/>
          <w:szCs w:val="23"/>
        </w:rPr>
        <w:t>The law limits EIDLs to $2,000,000 for alleviating economic injury caused by the disaster. The actual amount of each loan is limited to the economic injury determined by SBA, less business interruption insurance and other recoveries up to the administrative lending limit. SBA also considers potential contributions that are available from the business and/or its owner(s) or affiliates. If a business is a major source of employment, SBA has the authority to waive the $2,000,000 statutory</w:t>
      </w:r>
      <w:r w:rsidRPr="00B227B1">
        <w:rPr>
          <w:spacing w:val="-19"/>
          <w:sz w:val="23"/>
          <w:szCs w:val="23"/>
        </w:rPr>
        <w:t xml:space="preserve"> </w:t>
      </w:r>
      <w:r w:rsidRPr="00B227B1">
        <w:rPr>
          <w:sz w:val="23"/>
          <w:szCs w:val="23"/>
        </w:rPr>
        <w:t>limit.</w:t>
      </w:r>
    </w:p>
    <w:p w:rsidR="00BF11C3" w:rsidRPr="00B227B1" w:rsidRDefault="00BF11C3">
      <w:pPr>
        <w:pStyle w:val="BodyText"/>
        <w:spacing w:before="6"/>
        <w:rPr>
          <w:sz w:val="23"/>
          <w:szCs w:val="23"/>
        </w:rPr>
      </w:pPr>
    </w:p>
    <w:p w:rsidR="00BF11C3" w:rsidRPr="00B227B1" w:rsidRDefault="001E794C">
      <w:pPr>
        <w:pStyle w:val="Heading3"/>
        <w:rPr>
          <w:sz w:val="23"/>
          <w:szCs w:val="23"/>
        </w:rPr>
      </w:pPr>
      <w:r w:rsidRPr="00B227B1">
        <w:rPr>
          <w:sz w:val="23"/>
          <w:szCs w:val="23"/>
        </w:rPr>
        <w:t>Loan Eligibility Restrictions:</w:t>
      </w:r>
    </w:p>
    <w:p w:rsidR="00BF11C3" w:rsidRPr="00B227B1" w:rsidRDefault="001E794C">
      <w:pPr>
        <w:pStyle w:val="BodyText"/>
        <w:spacing w:before="4"/>
        <w:ind w:left="100" w:right="363"/>
        <w:rPr>
          <w:sz w:val="23"/>
          <w:szCs w:val="23"/>
        </w:rPr>
      </w:pPr>
      <w:r w:rsidRPr="00B227B1">
        <w:rPr>
          <w:sz w:val="23"/>
          <w:szCs w:val="23"/>
          <w:u w:val="single"/>
        </w:rPr>
        <w:t>Noncompliance</w:t>
      </w:r>
      <w:r w:rsidRPr="00B227B1">
        <w:rPr>
          <w:sz w:val="23"/>
          <w:szCs w:val="23"/>
        </w:rPr>
        <w:t xml:space="preserve"> – Applicants who have not complied with the terms of previous SBA loans may not be eligible. This includes borrowers who did not maintain required flood insurance and/or hazard insurance on previous SBA loans.</w:t>
      </w:r>
    </w:p>
    <w:p w:rsidR="00BF11C3" w:rsidRPr="00B227B1" w:rsidRDefault="00BF11C3">
      <w:pPr>
        <w:pStyle w:val="BodyText"/>
        <w:spacing w:before="7"/>
        <w:rPr>
          <w:sz w:val="23"/>
          <w:szCs w:val="23"/>
        </w:rPr>
      </w:pPr>
    </w:p>
    <w:p w:rsidR="00BF11C3" w:rsidRPr="00B227B1" w:rsidRDefault="001E794C">
      <w:pPr>
        <w:pStyle w:val="BodyText"/>
        <w:spacing w:before="1" w:line="244" w:lineRule="auto"/>
        <w:ind w:left="100"/>
        <w:rPr>
          <w:sz w:val="23"/>
          <w:szCs w:val="23"/>
        </w:rPr>
      </w:pPr>
      <w:r w:rsidRPr="00B227B1">
        <w:rPr>
          <w:b/>
          <w:sz w:val="23"/>
          <w:szCs w:val="23"/>
        </w:rPr>
        <w:t xml:space="preserve">Note: </w:t>
      </w:r>
      <w:r w:rsidRPr="00B227B1">
        <w:rPr>
          <w:sz w:val="23"/>
          <w:szCs w:val="23"/>
        </w:rPr>
        <w:t>Loan applicants should check with agencies / organizations administering any grant or other assistance program under this declaration to determine how an approval of SBA disaster loan might affect their eligibility.</w:t>
      </w:r>
    </w:p>
    <w:p w:rsidR="00BF11C3" w:rsidRPr="00B227B1" w:rsidRDefault="00BF11C3">
      <w:pPr>
        <w:pStyle w:val="BodyText"/>
        <w:rPr>
          <w:sz w:val="23"/>
          <w:szCs w:val="23"/>
        </w:rPr>
      </w:pPr>
    </w:p>
    <w:p w:rsidR="00BF11C3" w:rsidRPr="00B227B1" w:rsidRDefault="001E794C">
      <w:pPr>
        <w:pStyle w:val="Heading3"/>
        <w:spacing w:before="1"/>
        <w:rPr>
          <w:sz w:val="23"/>
          <w:szCs w:val="23"/>
        </w:rPr>
      </w:pPr>
      <w:r w:rsidRPr="00B227B1">
        <w:rPr>
          <w:sz w:val="23"/>
          <w:szCs w:val="23"/>
        </w:rPr>
        <w:t>Refinancing:</w:t>
      </w:r>
    </w:p>
    <w:p w:rsidR="00BF11C3" w:rsidRPr="00B227B1" w:rsidRDefault="001E794C">
      <w:pPr>
        <w:pStyle w:val="BodyText"/>
        <w:spacing w:before="4"/>
        <w:ind w:left="100"/>
        <w:rPr>
          <w:sz w:val="23"/>
          <w:szCs w:val="23"/>
        </w:rPr>
      </w:pPr>
      <w:r w:rsidRPr="00B227B1">
        <w:rPr>
          <w:sz w:val="23"/>
          <w:szCs w:val="23"/>
        </w:rPr>
        <w:t>Economic injury disaster loans cannot be used to refinance long term debts.</w:t>
      </w:r>
    </w:p>
    <w:p w:rsidR="00BF11C3" w:rsidRPr="00B227B1" w:rsidRDefault="00BF11C3">
      <w:pPr>
        <w:pStyle w:val="BodyText"/>
        <w:spacing w:before="6"/>
        <w:rPr>
          <w:sz w:val="23"/>
          <w:szCs w:val="23"/>
        </w:rPr>
      </w:pPr>
    </w:p>
    <w:p w:rsidR="00BF11C3" w:rsidRPr="00B227B1" w:rsidRDefault="001E794C">
      <w:pPr>
        <w:pStyle w:val="Heading3"/>
        <w:rPr>
          <w:sz w:val="23"/>
          <w:szCs w:val="23"/>
        </w:rPr>
      </w:pPr>
      <w:r w:rsidRPr="00B227B1">
        <w:rPr>
          <w:sz w:val="23"/>
          <w:szCs w:val="23"/>
        </w:rPr>
        <w:t>Insurance Requirements:</w:t>
      </w:r>
    </w:p>
    <w:p w:rsidR="00BF11C3" w:rsidRPr="00B227B1" w:rsidRDefault="001E794C">
      <w:pPr>
        <w:pStyle w:val="BodyText"/>
        <w:spacing w:before="6"/>
        <w:ind w:left="100" w:right="103"/>
        <w:jc w:val="both"/>
        <w:rPr>
          <w:sz w:val="23"/>
          <w:szCs w:val="23"/>
        </w:rPr>
      </w:pPr>
      <w:r w:rsidRPr="00B227B1">
        <w:rPr>
          <w:sz w:val="23"/>
          <w:szCs w:val="23"/>
        </w:rPr>
        <w:t>To protect each borrower and the Agency, SBA may require you to obtain and maintain appropriate insurance. By law, borrowers whose damaged or collateral property is located in a special flood hazard area must purchase and maintain flood insurance. SBA requires that flood insurance coverage be the lesser of 1) the total of the disaster loan, 2) the insurable value of the property, or</w:t>
      </w:r>
    </w:p>
    <w:p w:rsidR="00BF11C3" w:rsidRPr="00B227B1" w:rsidRDefault="001E794C">
      <w:pPr>
        <w:pStyle w:val="BodyText"/>
        <w:spacing w:before="0" w:line="205" w:lineRule="exact"/>
        <w:ind w:left="100"/>
        <w:rPr>
          <w:sz w:val="23"/>
          <w:szCs w:val="23"/>
        </w:rPr>
      </w:pPr>
      <w:r w:rsidRPr="00B227B1">
        <w:rPr>
          <w:sz w:val="23"/>
          <w:szCs w:val="23"/>
        </w:rPr>
        <w:t xml:space="preserve">3) </w:t>
      </w:r>
      <w:proofErr w:type="gramStart"/>
      <w:r w:rsidRPr="00B227B1">
        <w:rPr>
          <w:sz w:val="23"/>
          <w:szCs w:val="23"/>
        </w:rPr>
        <w:t>the</w:t>
      </w:r>
      <w:proofErr w:type="gramEnd"/>
      <w:r w:rsidRPr="00B227B1">
        <w:rPr>
          <w:sz w:val="23"/>
          <w:szCs w:val="23"/>
        </w:rPr>
        <w:t xml:space="preserve"> maximum insurance available.</w:t>
      </w:r>
    </w:p>
    <w:p w:rsidR="00BF11C3" w:rsidRDefault="00BF11C3">
      <w:pPr>
        <w:pStyle w:val="BodyText"/>
      </w:pPr>
    </w:p>
    <w:p w:rsidR="00BF11C3" w:rsidRDefault="001E794C">
      <w:pPr>
        <w:spacing w:line="237" w:lineRule="auto"/>
        <w:ind w:left="520" w:right="363" w:firstLine="482"/>
        <w:rPr>
          <w:sz w:val="18"/>
        </w:rPr>
      </w:pPr>
      <w:r>
        <w:rPr>
          <w:sz w:val="18"/>
        </w:rPr>
        <w:t xml:space="preserve">For more information, contact SBA’s Disaster Assistance Customer Service Center by calling (800) 659-2955, emailing </w:t>
      </w:r>
      <w:hyperlink r:id="rId6">
        <w:r>
          <w:rPr>
            <w:i/>
            <w:color w:val="0000FF"/>
            <w:sz w:val="18"/>
            <w:u w:val="single" w:color="0000FF"/>
          </w:rPr>
          <w:t>disastercustomerservice@sba.gov</w:t>
        </w:r>
        <w:r>
          <w:rPr>
            <w:sz w:val="18"/>
          </w:rPr>
          <w:t xml:space="preserve">, </w:t>
        </w:r>
      </w:hyperlink>
      <w:r>
        <w:rPr>
          <w:sz w:val="18"/>
        </w:rPr>
        <w:t xml:space="preserve">or visiting SBA’s Web site at </w:t>
      </w:r>
      <w:hyperlink r:id="rId7">
        <w:r>
          <w:rPr>
            <w:i/>
            <w:color w:val="0000FF"/>
            <w:sz w:val="18"/>
            <w:u w:val="single" w:color="0000FF"/>
          </w:rPr>
          <w:t>https://www.sba.gov/disaster</w:t>
        </w:r>
        <w:r>
          <w:rPr>
            <w:sz w:val="18"/>
          </w:rPr>
          <w:t>.</w:t>
        </w:r>
      </w:hyperlink>
      <w:r>
        <w:rPr>
          <w:sz w:val="18"/>
        </w:rPr>
        <w:t xml:space="preserve"> Hearing impaired</w:t>
      </w:r>
    </w:p>
    <w:p w:rsidR="00BF11C3" w:rsidRDefault="001E794C">
      <w:pPr>
        <w:pStyle w:val="BodyText"/>
        <w:spacing w:line="237" w:lineRule="auto"/>
        <w:ind w:left="3329" w:hanging="2929"/>
      </w:pPr>
      <w:proofErr w:type="gramStart"/>
      <w:r>
        <w:t>individuals</w:t>
      </w:r>
      <w:proofErr w:type="gramEnd"/>
      <w:r>
        <w:t xml:space="preserve"> may call (800) 877-8339. Applicants may also apply online using the Electronic Loan Application (ELA) via SBA’s secure Web site at </w:t>
      </w:r>
      <w:hyperlink r:id="rId8">
        <w:r>
          <w:rPr>
            <w:i/>
            <w:color w:val="0000FF"/>
            <w:u w:val="single" w:color="0000FF"/>
          </w:rPr>
          <w:t>https://disasterloan.sba.gov/ela</w:t>
        </w:r>
        <w:r>
          <w:t>.</w:t>
        </w:r>
      </w:hyperlink>
    </w:p>
    <w:sectPr w:rsidR="00BF11C3">
      <w:type w:val="continuous"/>
      <w:pgSz w:w="12240" w:h="15840"/>
      <w:pgMar w:top="200" w:right="7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10D0"/>
    <w:multiLevelType w:val="hybridMultilevel"/>
    <w:tmpl w:val="73CA9280"/>
    <w:lvl w:ilvl="0" w:tplc="A7FE388C">
      <w:numFmt w:val="bullet"/>
      <w:lvlText w:val=""/>
      <w:lvlJc w:val="left"/>
      <w:pPr>
        <w:ind w:left="820" w:hanging="361"/>
      </w:pPr>
      <w:rPr>
        <w:rFonts w:ascii="Symbol" w:eastAsia="Symbol" w:hAnsi="Symbol" w:cs="Symbol" w:hint="default"/>
        <w:w w:val="100"/>
        <w:sz w:val="18"/>
        <w:szCs w:val="18"/>
        <w:lang w:val="en-US" w:eastAsia="en-US" w:bidi="en-US"/>
      </w:rPr>
    </w:lvl>
    <w:lvl w:ilvl="1" w:tplc="C096E70C">
      <w:numFmt w:val="bullet"/>
      <w:lvlText w:val="•"/>
      <w:lvlJc w:val="left"/>
      <w:pPr>
        <w:ind w:left="1812" w:hanging="361"/>
      </w:pPr>
      <w:rPr>
        <w:rFonts w:hint="default"/>
        <w:lang w:val="en-US" w:eastAsia="en-US" w:bidi="en-US"/>
      </w:rPr>
    </w:lvl>
    <w:lvl w:ilvl="2" w:tplc="5F7EFB46">
      <w:numFmt w:val="bullet"/>
      <w:lvlText w:val="•"/>
      <w:lvlJc w:val="left"/>
      <w:pPr>
        <w:ind w:left="2804" w:hanging="361"/>
      </w:pPr>
      <w:rPr>
        <w:rFonts w:hint="default"/>
        <w:lang w:val="en-US" w:eastAsia="en-US" w:bidi="en-US"/>
      </w:rPr>
    </w:lvl>
    <w:lvl w:ilvl="3" w:tplc="3DF2EFBE">
      <w:numFmt w:val="bullet"/>
      <w:lvlText w:val="•"/>
      <w:lvlJc w:val="left"/>
      <w:pPr>
        <w:ind w:left="3796" w:hanging="361"/>
      </w:pPr>
      <w:rPr>
        <w:rFonts w:hint="default"/>
        <w:lang w:val="en-US" w:eastAsia="en-US" w:bidi="en-US"/>
      </w:rPr>
    </w:lvl>
    <w:lvl w:ilvl="4" w:tplc="D9AA02F2">
      <w:numFmt w:val="bullet"/>
      <w:lvlText w:val="•"/>
      <w:lvlJc w:val="left"/>
      <w:pPr>
        <w:ind w:left="4788" w:hanging="361"/>
      </w:pPr>
      <w:rPr>
        <w:rFonts w:hint="default"/>
        <w:lang w:val="en-US" w:eastAsia="en-US" w:bidi="en-US"/>
      </w:rPr>
    </w:lvl>
    <w:lvl w:ilvl="5" w:tplc="63ECE6A8">
      <w:numFmt w:val="bullet"/>
      <w:lvlText w:val="•"/>
      <w:lvlJc w:val="left"/>
      <w:pPr>
        <w:ind w:left="5780" w:hanging="361"/>
      </w:pPr>
      <w:rPr>
        <w:rFonts w:hint="default"/>
        <w:lang w:val="en-US" w:eastAsia="en-US" w:bidi="en-US"/>
      </w:rPr>
    </w:lvl>
    <w:lvl w:ilvl="6" w:tplc="76ECA3B6">
      <w:numFmt w:val="bullet"/>
      <w:lvlText w:val="•"/>
      <w:lvlJc w:val="left"/>
      <w:pPr>
        <w:ind w:left="6772" w:hanging="361"/>
      </w:pPr>
      <w:rPr>
        <w:rFonts w:hint="default"/>
        <w:lang w:val="en-US" w:eastAsia="en-US" w:bidi="en-US"/>
      </w:rPr>
    </w:lvl>
    <w:lvl w:ilvl="7" w:tplc="F708771C">
      <w:numFmt w:val="bullet"/>
      <w:lvlText w:val="•"/>
      <w:lvlJc w:val="left"/>
      <w:pPr>
        <w:ind w:left="7764" w:hanging="361"/>
      </w:pPr>
      <w:rPr>
        <w:rFonts w:hint="default"/>
        <w:lang w:val="en-US" w:eastAsia="en-US" w:bidi="en-US"/>
      </w:rPr>
    </w:lvl>
    <w:lvl w:ilvl="8" w:tplc="C8060758">
      <w:numFmt w:val="bullet"/>
      <w:lvlText w:val="•"/>
      <w:lvlJc w:val="left"/>
      <w:pPr>
        <w:ind w:left="8756"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C3"/>
    <w:rsid w:val="001E794C"/>
    <w:rsid w:val="00B227B1"/>
    <w:rsid w:val="00BF11C3"/>
    <w:rsid w:val="00ED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C5D41-52FB-4E60-9F84-0A9514F9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382" w:right="877"/>
      <w:outlineLvl w:val="0"/>
    </w:pPr>
    <w:rPr>
      <w:b/>
      <w:bCs/>
      <w:sz w:val="26"/>
      <w:szCs w:val="26"/>
    </w:rPr>
  </w:style>
  <w:style w:type="paragraph" w:styleId="Heading2">
    <w:name w:val="heading 2"/>
    <w:basedOn w:val="Normal"/>
    <w:uiPriority w:val="1"/>
    <w:qFormat/>
    <w:pPr>
      <w:spacing w:before="29"/>
      <w:ind w:left="3192"/>
      <w:outlineLvl w:val="1"/>
    </w:pPr>
    <w:rPr>
      <w:b/>
      <w:bCs/>
      <w:i/>
      <w:sz w:val="20"/>
      <w:szCs w:val="20"/>
    </w:rPr>
  </w:style>
  <w:style w:type="paragraph" w:styleId="Heading3">
    <w:name w:val="heading 3"/>
    <w:basedOn w:val="Normal"/>
    <w:uiPriority w:val="1"/>
    <w:qFormat/>
    <w:pPr>
      <w:ind w:left="10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18"/>
      <w:szCs w:val="18"/>
    </w:rPr>
  </w:style>
  <w:style w:type="paragraph" w:styleId="ListParagraph">
    <w:name w:val="List Paragraph"/>
    <w:basedOn w:val="Normal"/>
    <w:uiPriority w:val="1"/>
    <w:qFormat/>
    <w:pPr>
      <w:spacing w:before="4"/>
      <w:ind w:left="820" w:hanging="360"/>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2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B1"/>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isasterloan.sba.gov/ela" TargetMode="External"/><Relationship Id="rId3" Type="http://schemas.openxmlformats.org/officeDocument/2006/relationships/settings" Target="settings.xml"/><Relationship Id="rId7" Type="http://schemas.openxmlformats.org/officeDocument/2006/relationships/hyperlink" Target="https://www.sba.gov/disa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stercustomerservice@sba.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FACT SHEET ABOUT U</vt:lpstr>
    </vt:vector>
  </TitlesOfParts>
  <Company>Multnomah County</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ABOUT U</dc:title>
  <dc:creator>mllampto</dc:creator>
  <cp:lastModifiedBy>ROSS Justin</cp:lastModifiedBy>
  <cp:revision>2</cp:revision>
  <cp:lastPrinted>2018-03-30T00:09:00Z</cp:lastPrinted>
  <dcterms:created xsi:type="dcterms:W3CDTF">2018-03-30T20:04:00Z</dcterms:created>
  <dcterms:modified xsi:type="dcterms:W3CDTF">2018-03-30T20:04:00Z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Microsoft® Word 2010</vt:lpwstr>
  </property>
  <property fmtid="{D5CDD505-2E9C-101B-9397-08002B2CF9AE}" pid="4" name="LastSaved">
    <vt:filetime>2018-03-29T00:00:00Z</vt:filetime>
  </property>
</Properties>
</file>