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41032" cy="581632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1032" cy="581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r w:rsidDel="00000000" w:rsidR="00000000" w:rsidRPr="00000000">
        <w:rPr>
          <w:rtl w:val="0"/>
        </w:rPr>
        <w:t xml:space="preserve">COPIA PRELIMINAR 3/18/21</w:t>
      </w:r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Plan de Área para 2021-2025 de la División de Servicios para Adultos Mayores, Personas con Discapacidades y Veteranos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División de Servicios para Adultos Mayores, Personas con Discapacidades y Veteranos (ADVSD, por sus siglas en inglés) ofrece el siguiente resumen de las metas y los objetivos preliminares para el Plan de Área de la Agencia para 2021-202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Área de Adultos Mayores.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Personas mayores indígenas estadounidenses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Atender a las personas mayores indígenas estadounidenses que viven en áreas urbanas al apoyar a las agencias que les brindan servicios.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ADVSD entiende y les da prioridad a las prioridades de las personas mayores indígenas relacionadas con su bienestar, así como el de sus familias, tribus y comunidades tribales.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Más personas mayores indígenas estadounidenses usan los programas y servicios que la ADVSD financia.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Personas mayores transgénero, no binarias y de doble espíritu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transgénero, no binarias y de doble espíritu se conectan con el cuidado comunitario y usan los servicios y programas para el apoyo de su bienestar, independencia y autodeterminación a medida que envejecen.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Aumentar el número de personas mayores transgénero, no binarias y de doble espíritu que buscan y acceden a servicios de la ADVSD y de la red de servicios para personas mayores.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3"/>
        </w:tabs>
        <w:spacing w:after="0" w:before="1" w:line="240" w:lineRule="auto"/>
        <w:ind w:left="722" w:right="0" w:hanging="26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transgénero, no binarias y de doble espíritu lideran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720" w:right="9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proceso centrado en la comunidad en cuanto al acceso a los servicios para personas mayores y personas con discapacidades.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Las personas mayores transgénero, no binarias y de doble espíritu identifican, le dan prioridad y hacen recomendaciones relacionadas con sus necesidades para los servicios basados en el hogar y en la comunidad.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Información y Assistencia (I &amp;A) y Conexión de Recursos para Personas Mayores y con Discapacidades (ADRC)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mayores, las personas con discapacidades y sus cuidadores reconocen y emplean la ADRC como una herramienta de acceso a información, recursos y servicios.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Incrementar el empleo de la ADRC para reducir el aislamiento y las barreras al acceso que experimentan las personas mayores aisladas física, cultural o lingüísticamente.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mayores, las personas con discapacidades, sus familias y cuidadores se conectan con los recursos y servicios a través de la información, las remisiones y la red de asistencia.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entidades y los socios comunitarios con conexiones comunitarias a las identidades marginadas histórica y sistemáticamente conocen y utilizan la red de la ADRC y la I &amp;A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Servicios de nutrición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tendrán suficientes alimentos que sean asequibles, culturalmente adecuados y que apoyen su salud.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Incrementar la utilización que las personas mayores hagan de los programas de nutrición financiados federalmente, como el Programa de Asistencia Nutricional Suplementaria o SNAP.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Proporcionar acceso a alimentación de bajo costo o sin costo en una variedad de ambientes que reúnan las necesidades diversas de las personas mayores.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Apoyar los esfuerzos liderados desde la comunidad para incrementar el acceso a la alimentación de las personas mayores y de las personas con discapacidades, dándole prioridad a las identidades histórica y sistémicamente marginadas.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le da prioridad al acceso a la alimentación y a los recursos de nutrición para las persona mayores de identidades histórica y sistémicamente marginadas.</w:t>
      </w:r>
    </w:p>
    <w:p w:rsidR="00000000" w:rsidDel="00000000" w:rsidP="00000000" w:rsidRDefault="00000000" w:rsidRPr="00000000" w14:paraId="00000020">
      <w:pPr>
        <w:pStyle w:val="Heading1"/>
        <w:spacing w:before="1" w:lineRule="auto"/>
        <w:ind w:firstLine="10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Promoción de la salud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y las personas con discapacidades se conectan sólidamente con su comunidad para recibir apoyo de bienestar físico y de salud mental.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Incrementar la disponibilidad de clases y actividades que promuevan la salud de las personas mayores a través del desarrollo de asociaciones y redes.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participan activamente en actividades promotoras de salud que aborden las afecciones crónicas, el mejoramiento de la salud y la reducción del aislamiento.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Más personas mayores participan en actividades que apoyen su salud y bienestar.</w:t>
      </w:r>
    </w:p>
    <w:p w:rsidR="00000000" w:rsidDel="00000000" w:rsidP="00000000" w:rsidRDefault="00000000" w:rsidRPr="00000000" w14:paraId="00000027">
      <w:pPr>
        <w:pStyle w:val="Heading1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Familiares cuidadores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Promover los servicios de los familiares cuidadores y los recursos para la familia y los cuidadores informales, dándole prioridad a los servicios para las comunidades histórica y sistémicamente marginadas.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Aumentar la participación de familiares cuidadores e informales, dándole prioridad a los cuidadores de las comunidades histórica y sistémicamente marginadas.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familiares cuidadores reciben servicios centrados en las personas y culturalmente específicos.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Aumentar el número de familiares cuidadores que recibe servicios culturalmente sensibles y relevantes.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820" w:right="9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before="80" w:lineRule="auto"/>
        <w:ind w:firstLine="100"/>
        <w:rPr/>
      </w:pPr>
      <w:r w:rsidDel="00000000" w:rsidR="00000000" w:rsidRPr="00000000">
        <w:rPr>
          <w:rtl w:val="0"/>
        </w:rPr>
        <w:t xml:space="preserve">Derechos de las personas mayores y asistencia legal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acceden a consultas legales a través de Senior Law Project con un énfasis en el acceso extendido a las comunidades histórica y sistémicamente marginadas.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proporciona asistencia legal a un promedio de 900 personas mayores cada año.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Aumentar la capacidad de atender a las personas mayores histórica y sistémicamente marginadas a través de Senior Law Project.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tienen recursos basados en la comunidad para apoyo entre pares y autoabogacía.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Desarrollo de una campaña de alcance comunitario que promueva los recursos de autoabogacía y las redes de pares.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Coordinación y recursos de transporte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personas mayores comprenden que tienen a su disposición recursos de transporte.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recursos de transporte se distribuyen a las personas mayores con mayores necesidades, dándole prioridad a los miembros de las comunidades histórica y sistémicamente marginadas.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servicios de transporte se coordinan a través del sistema de servicios para adultos mayores.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recursos de transporte les dan la prioridad a las preferencias de la comunidad y cumplen con los protocolos de seguridad para el COVID.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ADVSD entiende y aborda las necesidades y preferencias de las personas mayores para el transporte que estén vinculadas a la provisión de los servicios continuos.</w:t>
      </w:r>
    </w:p>
    <w:p w:rsidR="00000000" w:rsidDel="00000000" w:rsidP="00000000" w:rsidRDefault="00000000" w:rsidRPr="00000000" w14:paraId="0000003D">
      <w:pPr>
        <w:pStyle w:val="Heading1"/>
        <w:spacing w:before="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00" w:top="1000" w:left="980" w:right="1020" w:header="0" w:footer="8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ub2GiQBGeSQYYDkzEepZZyH1w==">AMUW2mV9XKr8S6M5pfvKEjLDUFNkiv6i6TxS20nF7T4X+3N0tvHyXg/B7xNceM8MKtxvDFWwH+uSogWDLTiJGhldBESJ0aWfTAolP7e8yTVvot0ntzIY2XM=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