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19325" cy="573938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325" cy="57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r w:rsidDel="00000000" w:rsidR="00000000" w:rsidRPr="00000000">
        <w:rPr>
          <w:rtl w:val="0"/>
        </w:rPr>
        <w:t xml:space="preserve">Черновой вариант – 18 марта 2021 года</w:t>
      </w:r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Местный план развития отдела обслуживания престарелых, лиц с ограниченными возможностями и бывших военнослужащих на 2021-2025 гг.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 обслуживания престарелых, лиц с ограниченными возможностями и бывших военнослужащих (ADVSD) предлагает вам ознакомиться с кратким изложением чернового варианта целей и задач местного плана развития, разработанного районным отделом обслуживания лиц пожилого возраста на 2021-202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гг.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Пожилые коренные американцы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Обслуживание пожилых коренных американцев, проживающих в городских районах, посредством оказания поддержки обслуживающим их службам.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 ADVSD признает и отдает приоритет нуждам пожилых коренных американцев, связанным с уходом и благополучием, а также нуждам их семей, племен и племенных общин.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больше пожилых коренных американцев пользуются программами и услугами, финансируемыми отделом ADVSD.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Пожилые трансгендерные лица, лица неопределенного пола и бердаши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 трансгендерные лица, лица неопределенного пола и бердаши поддерживают тесную связь с внимательным к их нуждам сообществом и пользуются услугами и программами поддержки их благополучия, независимости и самоопределения по мере старения.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Увеличение количества пожилых трансгендерных лиц, лиц неопределенного пола и бердашей, обращающихся и получающих доступ к услугам отдела ADVSD и сети услуг по уходу за пожилыми лицами.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 трансгендерные лица, лица неопределенного пола и бердаши занимают ведущую роль в ориентированном на общину процессе обеспечения доступа к услугам для пожилых и лиц с ограниченными возможностями здоровья.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Пожилые трансгендерные лица, лица неопределенного пола и бердаши определяют, расставляют приоритеты и дают рекомендации, связанные с их потребностями в услугах надомного обслуживания и по месту жительства.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Справочная служба (I&amp;A) и служба по оказанию помощи пожилым и лицам с ограниченными возможностями здоровья (ADRC)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Пожилые, лица с ограниченными возможностями и их опекуны признают и используют услуги службы ADRC в качестве инструмента для получения доступа к информации, ресурсам и услугам.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Увеличение масштабов использования услуг службы ADRC с целью сокращения изоляции и препятствий для доступа, с которыми сталкиваются пожилые лица, испытывающие изоляцию в силу их физических, культурных или языковых особенностей.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Пожилые, лица с ограниченными возможностями, их семьи и лица, осуществляющие за ними уход, имеют прямой доступ к ресурсам и услугам посредством сети информации, направлений и помощи.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Местные партнеры и организации, имеющие общественные связи с исторически и системно маргинализированными категориями лиц, осведомлены о службе ADRC и сети I&amp;A и пользуются их услугами.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Продовольственное обслуживание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у пожилых лиц достаточного количества еды, доступной, приемлемой в культурном отношении и поддерживающей их здоровье.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Более широкое использование пожилыми лицами продовольственных программ, финансируемых из федерального бюджета, например, программы дополнительной продовольственной помощи или SNAP.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доступа к недорогому или бесплатному питанию в различных заведениях с целью удовлетворения разнообразных потребностей пожилых лиц.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Поддержание усилий сообщества по расширению доступа к продуктам питания для пожилых и лиц с ограниченными возможностями, отдавая приоритет лицам из исторически и системно маргинализированных слоев общества.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 доступа к продовольствию и наличия продовольственных ресурсов имеет приоритетное значение для пожилых лиц из исторически и системно маргинализированных слоев общества.</w:t>
      </w:r>
    </w:p>
    <w:p w:rsidR="00000000" w:rsidDel="00000000" w:rsidP="00000000" w:rsidRDefault="00000000" w:rsidRPr="00000000" w14:paraId="00000020">
      <w:pPr>
        <w:pStyle w:val="Heading1"/>
        <w:spacing w:before="1" w:lineRule="auto"/>
        <w:ind w:firstLine="10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1" w:lineRule="auto"/>
        <w:ind w:firstLine="100"/>
        <w:rPr/>
      </w:pPr>
      <w:r w:rsidDel="00000000" w:rsidR="00000000" w:rsidRPr="00000000">
        <w:rPr>
          <w:rtl w:val="0"/>
        </w:rPr>
        <w:t xml:space="preserve">Укрепление здоровья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 и лица с ограниченными возможностями тесно связаны со своим сообществом в целях поддержки своего благополучия, физического и психического здоровья.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доступности занятий и мероприятий в области укрепления здоровья для пожилых лиц посредством сотрудничества и развития сообщества поддержки.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 лица принимают активное участие в мероприятиях по укреплению здоровья, направленных на лечение хронических заболеваний, улучшение здоровья и сокращение изоляции.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большее количество пожилых лиц участвуют в мероприятиях, направленных на поддержание их здоровья и благополучия.</w:t>
      </w:r>
    </w:p>
    <w:p w:rsidR="00000000" w:rsidDel="00000000" w:rsidP="00000000" w:rsidRDefault="00000000" w:rsidRPr="00000000" w14:paraId="00000026">
      <w:pPr>
        <w:pStyle w:val="Heading1"/>
        <w:ind w:firstLine="10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Семейные опекуны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Поддержка семейных опекунов и предоставление ресурсов семьям и неформальным опекунам посредством приоритезации обслуживания исторически и системно маргинализированных общин.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Увеличение доли участия семей и неформальных опекунов посредством приоритезации обслуживания для опекунов из исторически и системно маргинализированных общин.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Семейные опекуны получают личностно-ориентированные услуги, учитывающие их культурные особенности.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Увеличение количества семейных опекунов, пользующихся услугами, учитывающими их культурные особенности и отвечающие их требованиям.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before="80" w:lineRule="auto"/>
        <w:ind w:firstLine="100"/>
        <w:rPr/>
      </w:pPr>
      <w:r w:rsidDel="00000000" w:rsidR="00000000" w:rsidRPr="00000000">
        <w:rPr>
          <w:rtl w:val="0"/>
        </w:rPr>
        <w:t xml:space="preserve">Права пожилых лиц и юридическая помощь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Пожилые лица имеют доступ к юридическим консультациям в рамках проекта Senior Law Project с акцентом на расширенный доступ для исторически и системно маргинализированных общин.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среднем юридическая помощь предоставляется 900 пожилым лицам ежегодно.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Повышение возможности обслуживать пожилых лиц из исторически и систематически маргинализированных общин в рамках проекта Senior Law Project.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у пожилых лиц ресурсов на уровне сообщества для взаимной поддержки и защиты собственных прав.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информационной кампании по внедрению существующих ресурсов в области защиты собственных прав, а также сетей взаимопомощи.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ind w:firstLine="100"/>
        <w:rPr/>
      </w:pPr>
      <w:r w:rsidDel="00000000" w:rsidR="00000000" w:rsidRPr="00000000">
        <w:rPr>
          <w:rtl w:val="0"/>
        </w:rPr>
        <w:t xml:space="preserve">Координация транспортных услуг и ресурсы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пожилыми лицами доступных для них транспортных ресурсов.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Распределение транспортных ресурсов среди пожилых лиц с наибольшей потребностью посредством приоритезации представителей исторически и системно маргинализированных общин.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Координация транспортных ресурсов в масштабе всей системы обслуживания пожилых лиц.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Приоритезация транспортными ресурсами местного потенциала и соблюдение протоколов безопасности в связи с пандемией заболевания COVID.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 ADVSD признает и учитывает потребности и предпочтения пожилых лиц в сфере транспортного обслуживания, связанные с непрерывным доступом к услугам и безопасностью в связи с пандемией заболевания COVID-19.</w:t>
      </w:r>
    </w:p>
    <w:sectPr>
      <w:footerReference r:id="rId8" w:type="default"/>
      <w:pgSz w:h="15840" w:w="12240" w:orient="portrait"/>
      <w:pgMar w:bottom="1000" w:top="1000" w:left="980" w:right="1020" w:header="0" w:footer="8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1540" w:hanging="360"/>
      </w:pPr>
      <w:rPr/>
    </w:lvl>
    <w:lvl w:ilvl="1">
      <w:start w:val="1"/>
      <w:numFmt w:val="lowerLetter"/>
      <w:lvlText w:val="%2."/>
      <w:lvlJc w:val="left"/>
      <w:pPr>
        <w:ind w:left="2260" w:hanging="360"/>
      </w:pPr>
      <w:rPr/>
    </w:lvl>
    <w:lvl w:ilvl="2">
      <w:start w:val="1"/>
      <w:numFmt w:val="lowerRoman"/>
      <w:lvlText w:val="%3."/>
      <w:lvlJc w:val="right"/>
      <w:pPr>
        <w:ind w:left="2980" w:hanging="180"/>
      </w:pPr>
      <w:rPr/>
    </w:lvl>
    <w:lvl w:ilvl="3">
      <w:start w:val="1"/>
      <w:numFmt w:val="decimal"/>
      <w:lvlText w:val="%4."/>
      <w:lvlJc w:val="left"/>
      <w:pPr>
        <w:ind w:left="3700" w:hanging="360"/>
      </w:pPr>
      <w:rPr/>
    </w:lvl>
    <w:lvl w:ilvl="4">
      <w:start w:val="1"/>
      <w:numFmt w:val="lowerLetter"/>
      <w:lvlText w:val="%5."/>
      <w:lvlJc w:val="left"/>
      <w:pPr>
        <w:ind w:left="4420" w:hanging="360"/>
      </w:pPr>
      <w:rPr/>
    </w:lvl>
    <w:lvl w:ilvl="5">
      <w:start w:val="1"/>
      <w:numFmt w:val="lowerRoman"/>
      <w:lvlText w:val="%6."/>
      <w:lvlJc w:val="right"/>
      <w:pPr>
        <w:ind w:left="5140" w:hanging="180"/>
      </w:pPr>
      <w:rPr/>
    </w:lvl>
    <w:lvl w:ilvl="6">
      <w:start w:val="1"/>
      <w:numFmt w:val="decimal"/>
      <w:lvlText w:val="%7."/>
      <w:lvlJc w:val="left"/>
      <w:pPr>
        <w:ind w:left="5860" w:hanging="360"/>
      </w:pPr>
      <w:rPr/>
    </w:lvl>
    <w:lvl w:ilvl="7">
      <w:start w:val="1"/>
      <w:numFmt w:val="lowerLetter"/>
      <w:lvlText w:val="%8."/>
      <w:lvlJc w:val="left"/>
      <w:pPr>
        <w:ind w:left="6580" w:hanging="360"/>
      </w:pPr>
      <w:rPr/>
    </w:lvl>
    <w:lvl w:ilvl="8">
      <w:start w:val="1"/>
      <w:numFmt w:val="lowerRoman"/>
      <w:lvlText w:val="%9."/>
      <w:lvlJc w:val="right"/>
      <w:pPr>
        <w:ind w:left="73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cxkoHPfL5Zj2IQlZApl0f5Peg==">AMUW2mVo7uGpSTLe+I4KWCYp5ODxDZXvosrSLZzV1LaZ8FXH0MxrYfXVrD7BX9G1QPysR13hQYxJpBoL05OdbMnWahckB+elnl8+lNXTMhBEqVjkDV0xJxA=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