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604749" cy="568772"/>
            <wp:effectExtent b="0" l="0" r="0" t="0"/>
            <wp:docPr descr="A picture containing graphical user interfac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graphical user interfac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749" cy="568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077"/>
        <w:rPr/>
      </w:pPr>
      <w:sdt>
        <w:sdtPr>
          <w:tag w:val="goog_rdk_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ड्राफ्ट - 3/18/21</w:t>
          </w:r>
        </w:sdtContent>
      </w:sdt>
    </w:p>
    <w:p w:rsidR="00000000" w:rsidDel="00000000" w:rsidP="00000000" w:rsidRDefault="00000000" w:rsidRPr="00000000" w14:paraId="00000005">
      <w:pPr>
        <w:spacing w:before="138" w:line="276" w:lineRule="auto"/>
        <w:ind w:left="521" w:right="479" w:firstLine="0"/>
        <w:jc w:val="center"/>
        <w:rPr>
          <w:b w:val="1"/>
          <w:sz w:val="40"/>
          <w:szCs w:val="40"/>
        </w:rPr>
      </w:pPr>
      <w:sdt>
        <w:sdtPr>
          <w:tag w:val="goog_rdk_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1"/>
              <w:sz w:val="40"/>
              <w:szCs w:val="40"/>
              <w:rtl w:val="0"/>
            </w:rPr>
            <w:t xml:space="preserve">उमेरवृद्धि, असक्षमता र सेवानिवृत्त सैनिक सेवाहरूको डिभिजन 2021-2025 क्षेत्र योजना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" w:line="276" w:lineRule="auto"/>
        <w:ind w:left="100" w:right="5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उमेरवृद्धि, असक्षमता र सेवानिवृत्त सैनिक सेवाहरूको डिभिजन (ADVSD) ले 2021-202</w:t>
          </w:r>
        </w:sdtContent>
      </w:sdt>
      <w:r w:rsidDel="00000000" w:rsidR="00000000" w:rsidRPr="00000000">
        <w:rPr>
          <w:sz w:val="24"/>
          <w:szCs w:val="24"/>
          <w:rtl w:val="0"/>
        </w:rPr>
        <w:t xml:space="preserve">5</w:t>
      </w:r>
      <w:sdt>
        <w:sdtPr>
          <w:tag w:val="goog_rdk_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उमेरवृद्धि क्षेत्र योजनाको लागि क्षेत्रीय निकायबाट ड्राफ्ट लक्ष्य र उद्देश्यहरूको निम्न सारांश प्रस्ताव गर्दै छ।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100"/>
        <w:rPr/>
      </w:pPr>
      <w:sdt>
        <w:sdtPr>
          <w:tag w:val="goog_rdk_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आदिवासी अमेरिकी वृद्धवृद्धा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3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आदिवासी अमेरिकी वृद्धवृद्धालाई सहायता गर्ने निकायहरूलाई नै सहायता गरेर शहरी क्षेत्रहरूमा बसोबास गर्ने ती वृद्धवृद्धालाई सेवा प्रदान गर्ने।</w:t>
          </w:r>
        </w:sdtContent>
      </w:sdt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आदिवासी वृद्धवृद्धाको स्याहार र कल्याण साथसाथै उनीहरूको परिवार, जाति र जनजातीय समुदायहरूसँग सम्बन्धित प्राथमिकताहरू ADVSD ले बुझेको छ र प्राथमिकता दिएको छ।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धेरैजसो आदिवासी अमेरिकी वृद्धवृद्धाले ADVSD द्वारा वित्त व्यवस्था गरिएका कार्यक्रम र सेवाहरू उपयोग गर्ने गर्छन्।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ind w:firstLine="100"/>
        <w:rPr/>
      </w:pPr>
      <w:sdt>
        <w:sdtPr>
          <w:tag w:val="goog_rdk_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विपरीत लिङ्गी तथा तेस्रोलिङ्गी वृद्ध वयस्क र दुई आत्मीय वृद्धवृद्धा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34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विपरीत लिङ्गी तथा तेस्रोलिङ्गी वृद्ध वयस्क र दुई आत्मीय वृद्धवृद्धा हेरचाह समुदायसँग राम्रोसँग जोडिएका छन् र आफ्नो उमेर बढ्दै जाँदा आफ्नो कल्याण, आत्मनिर्भरता र आत्मनिर्धारणमा सहायता गर्न सेवा र कार्यक्रमहरू प्रयोग गर्ने गर्छन्।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a. ADVSD र उमेरवृद्धि सेवा नेटवर्कबाट सेवाहरू खोजिरहेका र पहुँच गर्दै गरेका विपरीत लिङ्गी तथा तेस्रोलिङ्गी वृद्ध वयस्क र दुई आत्मीय वृद्धवृद्धाको सङ्ख्या बढाउने।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विपरीत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लिङ्गी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तथा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तेस्रोलिङ्गी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वृद्ध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वयस्क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दुई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आत्मीय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वृद्धवृद्धाले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वृद्ध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वयस्कहरू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असक्षमता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भएका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मानिसहरूलाई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सेवाहरूमा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पहुँच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गराउन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समुदाय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केन्द्रित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प्रक्रियाको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नेतृत्व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गर्छन्।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0" w:right="1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a. विपरीत लिङ्गी तथा तेस्रोलिङ्गी वृद्ध वयस्क र दुई आत्मीय वृद्धवृद्धाले घर तथा समुदायमा आधारित सेवाहरूसँग सम्बन्धित आफ्ना आवश्यकताहरू पहिचान गर्छन्, प्राथमिकता दिन्छन् र त्यससम्बन्धी सुझावहरू गर्छन्।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10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सूचना तथा सहायता (I &amp;A) र उमेरवृद्धि तथा असक्षमता स्रोत सम्बन्ध (ADRC)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7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वयस्क, असक्षमता भएका मानिसहरू र उनीहरूको स्याहारकर्ताहरूले ADRC लाई सूचना, स्रोत र सेवाहरू पहुँच गर्ने एक उपकरणको रूपमा पहिचान र उपयोग गर्छन्।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6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5840" w:w="12240" w:orient="portrait"/>
          <w:pgMar w:bottom="1000" w:top="1100" w:left="980" w:right="1020" w:header="720" w:footer="804"/>
          <w:pgNumType w:start="1"/>
        </w:sectPr>
      </w:pPr>
      <w:sdt>
        <w:sdtPr>
          <w:tag w:val="goog_rdk_1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शारीरिक रूपमा, सांस्कृतिक रूपमा वा भाषाको आधारमा अलग गरिएका वृद्ध वयस्कहरूद्वारा पहुँच गर्दा अनुभव गरेका पृथक्करण र अवरोधहरू घटाउन ADRC को उपयोगिता बढाउने</w:t>
          </w:r>
        </w:sdtContent>
      </w:sdt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77" w:line="276" w:lineRule="auto"/>
        <w:ind w:left="820" w:right="14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irmala UI" w:cs="Nirmala UI" w:eastAsia="Nirmala UI" w:hAnsi="Nirmala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व</w:t>
      </w:r>
      <w:sdt>
        <w:sdtPr>
          <w:tag w:val="goog_rdk_1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ृद्ध वयस्क, असक्षमता भएका मानिसहरू र उनीहरूको स्याहारकर्ताहरू सूचना, सिफारिस र सहायता नेटवर्कमार्फत स्रोत तथा सेवाहरूमा राम्रोसँग जोडिएका छन्।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7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ऐतिहासिक र प्रणालीगत रूपमा अधिकारहीन गरिएका पहिचानहरूसँग सामुदायिक सम्बन्ध भएका सामुदायिक साझेदार र संस्थाहरूलाई ADRC र I &amp; A नेटवर्कको बारेमा थाहा छ र यिनीहरूको प्रयोग गर्छन्।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firstLine="100"/>
        <w:rPr/>
      </w:pPr>
      <w:sdt>
        <w:sdtPr>
          <w:tag w:val="goog_rdk_1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पोषण सेवाहरू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53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वयस्कहरूले वहनयोग्य, सांस्कृतिक रूपमा उपयुक्त भएको र स्वास्थ्यलाई समर्थन गर्ने पर्याप्त खाना पाउनेछन्।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13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पूरक पोषण सहायता कार्यक्रम वा SNAP जस्ता संघीय रूपमा वित्त व्यवस्था गरिएका कार्यक्रमहरूमा वृद्ध वयस्कहरूको उपयोगिता बढाउने।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213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वयस्कहरूको विविध आवश्यकताहरू पूरा गर्न विभिन्न सेटिङहरूमा कम लागतको वा नि:शुल्क खानाको पहुँच उपलब्ध गराउने।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3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ऐतिहासिक र प्रणालीगत रूपमा अधिकारहीन गरिएका पहिचान भएका मानिसहरूलाई प्राथमिकता दिएर वृद्ध वयस्क र असक्षमता भएका मानिसहरूको लागि खानाको पहुँच बढाउन समुदायद्वारा नेतृत्व गरिएका प्रयासहरू समर्थन गर्ने।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14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ऐतिहासिक र प्रणालीगत रूपमा अधिकारहीन गरिएका पहिचान भएका वृद्ध वयस्कहरूको लागि खानाको पहुँच र पोषण स्रोतहरूलाई प्राथमिकता दिइन्छ।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1" w:lineRule="auto"/>
        <w:ind w:firstLine="10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स्वास्थ्य प्रवर्द्धन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42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 र असक्षमता भएका मानिसहरू आफ्नो कल्याण र शारीरिक तथा मानसिक स्वास्थ्यको समर्थनमा आफ्नो समुदायसँग दृढतापूर्वक जोडिएका छन्।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50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साझेदारी र नेटवर्क विकासको माध्यमद्वारा वृद्ध वयस्कहरूको लागि स्वास्थ्य प्रवर्द्धन कक्षा र क्रियाकलापहरूमा उपलब्धता बढाउने।</w:t>
          </w:r>
        </w:sdtContent>
      </w:sdt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96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वयस्कहरू जीर्ण अवस्थाहरू सम्बोधन गर्न, स्वास्थ्यमा सुधार ल्याउन र पृथक्करण घटाउन स्वास्थ्य प्रवर्द्धन क्रियाकलापहरूमा सक्रियताका साथ सहभागी हुन्छन्।</w:t>
          </w:r>
        </w:sdtContent>
      </w:sdt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धेरैजसो वृद्ध वयस्कहरू आफ्नो स्वास्थ्य र कल्याणलाई समर्थन गर्न क्रियाकलापहरूमा सहभागी हुने गर्छन्।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100"/>
        <w:rPr/>
      </w:pPr>
      <w:sdt>
        <w:sdtPr>
          <w:tag w:val="goog_rdk_2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पारिवारिक स्याहारकर्ताहरू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76" w:lineRule="auto"/>
        <w:ind w:left="820" w:right="708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ऐतिहासिक र प्रणालीगत रूपमा अधिकारहीन गरिएका समुदायहरूमा सेवाहरूलाई प्राथमिकता दिएर पारिवारिक र औपचारिक स्याहारकर्ताहरूको लागि पारिवारिक स्याहारकर्ता सेवा तथा स्रोतहरू प्रवर्द्धन गर्ने।</w:t>
          </w:r>
        </w:sdtContent>
      </w:sdt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40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ऐतिहासिक र प्रणालीगत रूपमा अधिकारहीन गरिएका समुदायका स्याहारकर्ताहरूको लागि सेवाहरूलाई प्राथमिकता दिएर पारिवारिक र औपचारिक स्याहारकर्ताहरूको सहभागिता बढाउने।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पारिवारिक स्याहारकर्ताहरूले व्यक्ति-केन्द्रित र सांस्कृतिक रूपमा विशिष्ट सेवाहरू प्राप्त गर्छन्।</w:t>
          </w:r>
        </w:sdtContent>
      </w:sdt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97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000" w:top="1320" w:left="980" w:right="1020" w:header="0" w:footer="804"/>
        </w:sectPr>
      </w:pPr>
      <w:sdt>
        <w:sdtPr>
          <w:tag w:val="goog_rdk_3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सांस्कृतिक रूपमा सम्बन्धित र उत्तरदायी भएका र सेवाहरू प्राप्त गर्ने पारिवारिक स्याहारकर्ताहरूको सङ्ख्या बढाउने।</w:t>
          </w:r>
        </w:sdtContent>
      </w:sdt>
    </w:p>
    <w:p w:rsidR="00000000" w:rsidDel="00000000" w:rsidP="00000000" w:rsidRDefault="00000000" w:rsidRPr="00000000" w14:paraId="0000002F">
      <w:pPr>
        <w:pStyle w:val="Heading1"/>
        <w:spacing w:before="80" w:lineRule="auto"/>
        <w:ind w:firstLine="100"/>
        <w:rPr/>
      </w:pPr>
      <w:sdt>
        <w:sdtPr>
          <w:tag w:val="goog_rdk_3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वृद्धवृद्धा अधिकार तथा कानूनी सहायता</w:t>
          </w:r>
        </w:sdtContent>
      </w:sdt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1" w:line="276" w:lineRule="auto"/>
        <w:ind w:left="820" w:right="10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वयस्कहरूले ऐतिहासिक र प्रणालीगत रूपमा अधिकारहीन गरिएका समुदायहरूको लागि विस्तारित पहुँचलाई महत्त्व दिने वरिष्ठ कानून परियोजनाको माध्यमद्वारा कानूनी परामर्श पहुँच गर्छन्।</w:t>
          </w:r>
        </w:sdtContent>
      </w:sdt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5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कानूनी सहायता हरेक वर्ष औसतमा 900 वृद्ध वयस्कहरूलाई उपलब्ध गराइन्छ।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74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6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वरिष्ठ कानून परियोजनाको माध्यमद्वारा ऐतिहासिक र प्रणालीगत रूपमा अधिकारहीन गरिएका वृद्धवृद्धालाई सेवा प्रदान गर्ने क्षमता बढाउने।</w:t>
          </w:r>
        </w:sdtContent>
      </w:sdt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7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वयस्कहरूसँग मिल्ने साथीहरूको सहायता र स्वयं-वकालतको लागि समुदायमा आधारित स्रोतहरू हुन्छन्।</w:t>
          </w:r>
        </w:sdtContent>
      </w:sdt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159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8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विद्यमान स्वयं-वकालत स्रोतहरू र मिल्ने साथीहरूको नेटवर्कहरू प्रवर्द्धन गर्नका लागि पहुँच अभियानको विकास गर्ने।</w:t>
          </w:r>
        </w:sdtContent>
      </w:sdt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ind w:firstLine="10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rtl w:val="0"/>
            </w:rPr>
            <w:t xml:space="preserve">यातायात समन्वयन र स्रोतहरू</w:t>
          </w:r>
        </w:sdtContent>
      </w:sdt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42" w:line="240" w:lineRule="auto"/>
        <w:ind w:left="8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वृद्ध वयस्कहरूले आफूलाई उपलब्ध भएका यातायातका स्रोतहरू बुझ्दछन्।</w:t>
          </w:r>
        </w:sdtContent>
      </w:sdt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41" w:line="240" w:lineRule="auto"/>
        <w:ind w:left="1540" w:right="4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यातायातका स्रोतहरू ऐतिहासिक र प्रणालीगत रूपमा अधिकारहीन गरिएका सामुदायिक सदस्यहरूलाई प्राथमिकता दिएर अधिक आवश्यकता भएका वृद्ध वयस्कहरूलाई वितरण गरिन्छ।</w:t>
          </w:r>
        </w:sdtContent>
      </w:sdt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40" w:lineRule="auto"/>
        <w:ind w:left="1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2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यातायातका स्रोतहरू वृद्ध वयस्क सेवा प्रणालीबीच समन्वित छन्।</w:t>
          </w:r>
        </w:sdtContent>
      </w:sdt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0" w:line="276" w:lineRule="auto"/>
        <w:ind w:left="820" w:right="22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यातायातका स्रोतहरूले समुदायको अधिमानलाई प्राथमिकता दिन्छन् र COVID-19 सुरक्षा प्रोटोकलहरूको पालना गर्छन्।</w:t>
          </w:r>
        </w:sdtContent>
      </w:sdt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</w:tabs>
        <w:spacing w:after="0" w:before="0" w:line="276" w:lineRule="auto"/>
        <w:ind w:left="1540" w:right="26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Palanquin Dark" w:cs="Palanquin Dark" w:eastAsia="Palanquin Dark" w:hAnsi="Palanquin Dark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जारी सेवा प्रावधान र COVID-19 सँग सम्बन्धित वृद्ध वयस्कहरूको यातायातसम्बन्धी आवश्यकता र प्राथमिकताहरू ADVSD ले बुझेको छ र सम्बोधन गरेको छ।</w:t>
          </w:r>
        </w:sdtContent>
      </w:sdt>
    </w:p>
    <w:sectPr>
      <w:type w:val="nextPage"/>
      <w:pgSz w:h="15840" w:w="12240" w:orient="portrait"/>
      <w:pgMar w:bottom="1000" w:top="1000" w:left="980" w:right="1020" w:header="0" w:footer="8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  <w:font w:name="Nirmala U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360"/>
      </w:pPr>
      <w:rPr/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Arial" w:cs="Arial" w:eastAsia="Arial" w:hAnsi="Arial"/>
        <w:sz w:val="24"/>
        <w:szCs w:val="24"/>
      </w:rPr>
    </w:lvl>
    <w:lvl w:ilvl="2">
      <w:start w:val="1"/>
      <w:numFmt w:val="bullet"/>
      <w:lvlText w:val="•"/>
      <w:lvlJc w:val="left"/>
      <w:pPr>
        <w:ind w:left="2506" w:hanging="360"/>
      </w:pPr>
      <w:rPr/>
    </w:lvl>
    <w:lvl w:ilvl="3">
      <w:start w:val="1"/>
      <w:numFmt w:val="bullet"/>
      <w:lvlText w:val="•"/>
      <w:lvlJc w:val="left"/>
      <w:pPr>
        <w:ind w:left="3473" w:hanging="360"/>
      </w:pPr>
      <w:rPr/>
    </w:lvl>
    <w:lvl w:ilvl="4">
      <w:start w:val="1"/>
      <w:numFmt w:val="bullet"/>
      <w:lvlText w:val="•"/>
      <w:lvlJc w:val="left"/>
      <w:pPr>
        <w:ind w:left="4440" w:hanging="360"/>
      </w:pPr>
      <w:rPr/>
    </w:lvl>
    <w:lvl w:ilvl="5">
      <w:start w:val="1"/>
      <w:numFmt w:val="bullet"/>
      <w:lvlText w:val="•"/>
      <w:lvlJc w:val="left"/>
      <w:pPr>
        <w:ind w:left="5406" w:hanging="360"/>
      </w:pPr>
      <w:rPr/>
    </w:lvl>
    <w:lvl w:ilvl="6">
      <w:start w:val="1"/>
      <w:numFmt w:val="bullet"/>
      <w:lvlText w:val="•"/>
      <w:lvlJc w:val="left"/>
      <w:pPr>
        <w:ind w:left="6373" w:hanging="360"/>
      </w:pPr>
      <w:rPr/>
    </w:lvl>
    <w:lvl w:ilvl="7">
      <w:start w:val="1"/>
      <w:numFmt w:val="bullet"/>
      <w:lvlText w:val="•"/>
      <w:lvlJc w:val="left"/>
      <w:pPr>
        <w:ind w:left="7340" w:hanging="360"/>
      </w:pPr>
      <w:rPr/>
    </w:lvl>
    <w:lvl w:ilvl="8">
      <w:start w:val="1"/>
      <w:numFmt w:val="bullet"/>
      <w:lvlText w:val="•"/>
      <w:lvlJc w:val="left"/>
      <w:pPr>
        <w:ind w:left="830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e-NP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2077" w:right="2037"/>
      <w:jc w:val="center"/>
    </w:pPr>
    <w:rPr>
      <w:b w:val="1"/>
      <w:sz w:val="80"/>
      <w:szCs w:val="80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paragraph" w:styleId="Heading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1540" w:hanging="360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4"/>
      <w:ind w:left="2077" w:right="2037"/>
      <w:jc w:val="center"/>
    </w:pPr>
    <w:rPr>
      <w:b w:val="1"/>
      <w:bCs w:val="1"/>
      <w:sz w:val="80"/>
      <w:szCs w:val="80"/>
    </w:rPr>
  </w:style>
  <w:style w:type="paragraph" w:styleId="ListParagraph">
    <w:name w:val="List Paragraph"/>
    <w:basedOn w:val="Normal"/>
    <w:uiPriority w:val="1"/>
    <w:qFormat w:val="1"/>
    <w:pPr>
      <w:ind w:left="154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d+5ZsMEo3+d9C01XZGfMVEZ+VA==">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2021-03-18T23:43:00Z</dcterms:created>
</cp:coreProperties>
</file>