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3 (5/20/2025)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County and the Union last met for bargaining on May 15, 2025. As we shared previously, the Union presented the majority of their financial package at the May 1, 2025 session, and the County provided its first counter proposal during the May 15th session. Significant differences remain between the County and Union regarding economic issues.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Using a standard costing methodology employed by both parties, our analysis indicates that the Union’s proposed package would exceed $500 million in the first of the contract and approximately $966 million over three years. Given the magnitude of Union’s initial proposal, which represents a substantial increase over previous negotiations, formulating a responsive counter proposal was challenging. The scale of the request makes it difficult to identify the specific areas for focused discussion and potential compromise necessary for reaching a mutually agreeable and fiscally responsible contract.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Considering the County’s projected financial constraints over the coming years, we presented our first counter proposal which largely maintains existing contract language. This approach aims to foster ongoing dialogue and deepen our understanding of the Union’s key priorities. The County’s goal is to collaboratively identify contract terms that achieve a fair and sustainable contract, benefiting both our employees and the County’s fiscal stability, while operating within the County’s budgetary realities.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Here’s where we are today in brief:</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8</w:t>
      </w:r>
      <w:r w:rsidDel="00000000" w:rsidR="00000000" w:rsidRPr="00000000">
        <w:rPr>
          <w:rtl w:val="0"/>
        </w:rPr>
        <w:t xml:space="preserve"> Articles TA’ed (tentative agreement reached)</w:t>
      </w:r>
    </w:p>
    <w:p w:rsidR="00000000" w:rsidDel="00000000" w:rsidP="00000000" w:rsidRDefault="00000000" w:rsidRPr="00000000" w14:paraId="0000000C">
      <w:pPr>
        <w:rPr/>
      </w:pPr>
      <w:r w:rsidDel="00000000" w:rsidR="00000000" w:rsidRPr="00000000">
        <w:rPr>
          <w:b w:val="1"/>
          <w:rtl w:val="0"/>
        </w:rPr>
        <w:t xml:space="preserve">14</w:t>
      </w:r>
      <w:r w:rsidDel="00000000" w:rsidR="00000000" w:rsidRPr="00000000">
        <w:rPr>
          <w:rtl w:val="0"/>
        </w:rPr>
        <w:t xml:space="preserve"> Articles pending with AFSCME</w:t>
      </w:r>
    </w:p>
    <w:p w:rsidR="00000000" w:rsidDel="00000000" w:rsidP="00000000" w:rsidRDefault="00000000" w:rsidRPr="00000000" w14:paraId="0000000D">
      <w:pPr>
        <w:rPr/>
      </w:pPr>
      <w:r w:rsidDel="00000000" w:rsidR="00000000" w:rsidRPr="00000000">
        <w:rPr>
          <w:b w:val="1"/>
          <w:rtl w:val="0"/>
        </w:rPr>
        <w:t xml:space="preserve">9</w:t>
      </w:r>
      <w:r w:rsidDel="00000000" w:rsidR="00000000" w:rsidRPr="00000000">
        <w:rPr>
          <w:rtl w:val="0"/>
        </w:rPr>
        <w:t xml:space="preserve"> Articles pending with County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3</w:t>
      </w:r>
      <w:r w:rsidDel="00000000" w:rsidR="00000000" w:rsidRPr="00000000">
        <w:rPr>
          <w:rtl w:val="0"/>
        </w:rPr>
        <w:t xml:space="preserve"> Addenda TA’ed </w:t>
      </w: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4</w:t>
      </w:r>
      <w:r w:rsidDel="00000000" w:rsidR="00000000" w:rsidRPr="00000000">
        <w:rPr>
          <w:rtl w:val="0"/>
        </w:rPr>
        <w:t xml:space="preserve"> Addenda pending with AFSCME</w:t>
      </w:r>
    </w:p>
    <w:p w:rsidR="00000000" w:rsidDel="00000000" w:rsidP="00000000" w:rsidRDefault="00000000" w:rsidRPr="00000000" w14:paraId="00000011">
      <w:pPr>
        <w:rPr/>
      </w:pPr>
      <w:r w:rsidDel="00000000" w:rsidR="00000000" w:rsidRPr="00000000">
        <w:rPr>
          <w:b w:val="1"/>
          <w:rtl w:val="0"/>
        </w:rPr>
        <w:t xml:space="preserve">8</w:t>
      </w:r>
      <w:r w:rsidDel="00000000" w:rsidR="00000000" w:rsidRPr="00000000">
        <w:rPr>
          <w:rtl w:val="0"/>
        </w:rPr>
        <w:t xml:space="preserve"> Addenda pending with County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Here is what went across the table on May 15:</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Article 10 - Other Leaves</w:t>
      </w:r>
      <w:r w:rsidDel="00000000" w:rsidR="00000000" w:rsidRPr="00000000">
        <w:rPr>
          <w:rtl w:val="0"/>
        </w:rPr>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The Union put forward a counter-proposal allowing employees the option to use paid leave or take unpaid leave for leaves of absences; increasing bereavement leave from 3 - 6 days to 5 - 10 days; adding “trauma leave” to address physical and mental health needs following a traumatic event, which would function as an unlimited bank of paid admin time for employees to take following a work related direct or indirect trauma (undefined) event; for non-work related events employees may use paid sick or catastrophic leave.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Article 12 - Workers Compensation and Supplemental Benefits</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The Union put forward a counter-proposal to allow employees to take any paid leave following the first day of disability during waiting period</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Article 14 - Compensation</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The County rejected most of the Union’s compensation proposals; our counter-proposal included: </w:t>
      </w:r>
    </w:p>
    <w:p w:rsidR="00000000" w:rsidDel="00000000" w:rsidP="00000000" w:rsidRDefault="00000000" w:rsidRPr="00000000" w14:paraId="0000001D">
      <w:pPr>
        <w:numPr>
          <w:ilvl w:val="1"/>
          <w:numId w:val="5"/>
        </w:numPr>
        <w:ind w:left="1440" w:hanging="360"/>
        <w:rPr>
          <w:u w:val="none"/>
        </w:rPr>
      </w:pPr>
      <w:r w:rsidDel="00000000" w:rsidR="00000000" w:rsidRPr="00000000">
        <w:rPr>
          <w:rtl w:val="0"/>
        </w:rPr>
        <w:t xml:space="preserve">2.4% increase 7/1/2025 (difference between CPI-W West Size A from the second half of 2023 to the second half of 2024)</w:t>
      </w:r>
    </w:p>
    <w:p w:rsidR="00000000" w:rsidDel="00000000" w:rsidP="00000000" w:rsidRDefault="00000000" w:rsidRPr="00000000" w14:paraId="0000001E">
      <w:pPr>
        <w:numPr>
          <w:ilvl w:val="1"/>
          <w:numId w:val="5"/>
        </w:numPr>
        <w:ind w:left="1440" w:hanging="360"/>
        <w:rPr>
          <w:u w:val="none"/>
        </w:rPr>
      </w:pPr>
      <w:r w:rsidDel="00000000" w:rsidR="00000000" w:rsidRPr="00000000">
        <w:rPr>
          <w:rtl w:val="0"/>
        </w:rPr>
        <w:t xml:space="preserve">1 - 4% increase 7/1/2026</w:t>
      </w:r>
    </w:p>
    <w:p w:rsidR="00000000" w:rsidDel="00000000" w:rsidP="00000000" w:rsidRDefault="00000000" w:rsidRPr="00000000" w14:paraId="0000001F">
      <w:pPr>
        <w:numPr>
          <w:ilvl w:val="1"/>
          <w:numId w:val="5"/>
        </w:numPr>
        <w:ind w:left="1440" w:hanging="360"/>
        <w:rPr>
          <w:u w:val="none"/>
        </w:rPr>
      </w:pPr>
      <w:r w:rsidDel="00000000" w:rsidR="00000000" w:rsidRPr="00000000">
        <w:rPr>
          <w:rtl w:val="0"/>
        </w:rPr>
        <w:t xml:space="preserve">1 - 4% increase 7/1/2027</w:t>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The County’s counter accepted the Union’s proposals on Market Adjustment studies, accepted the 5% premium on Cultural and Bilingual KSAs, and accepted an increase to banked Comp time of up to 96 hours (an increase from the current 80 hours but less than Union’s proposed 160 hours)</w:t>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The County’s counter added language regarding employees checking for accuracy of paystubs to minimize instances of overpayment and recollection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Article 19 - Modification of Work Performed by the Bargaining Unit</w:t>
      </w:r>
    </w:p>
    <w:p w:rsidR="00000000" w:rsidDel="00000000" w:rsidP="00000000" w:rsidRDefault="00000000" w:rsidRPr="00000000" w14:paraId="00000024">
      <w:pPr>
        <w:numPr>
          <w:ilvl w:val="0"/>
          <w:numId w:val="7"/>
        </w:numPr>
        <w:ind w:left="720" w:hanging="360"/>
        <w:rPr>
          <w:u w:val="none"/>
        </w:rPr>
      </w:pPr>
      <w:r w:rsidDel="00000000" w:rsidR="00000000" w:rsidRPr="00000000">
        <w:rPr>
          <w:rtl w:val="0"/>
        </w:rPr>
        <w:t xml:space="preserve">The County’s counter-proposal was to revert to current contract language but accept Union proposal on impact bargaining for Intergovernmental Agreements as statute already allows for this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Article 21 - Seniority and Layoffs</w:t>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The County’s counter-proposal accepted Union’s language on continuous service seniority, requiring review of employees on recall list prior to filling a vacancy, and extending an employee’s time on recall list to 36 months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Article 29 - Termination </w:t>
      </w:r>
    </w:p>
    <w:p w:rsidR="00000000" w:rsidDel="00000000" w:rsidP="00000000" w:rsidRDefault="00000000" w:rsidRPr="00000000" w14:paraId="0000002A">
      <w:pPr>
        <w:numPr>
          <w:ilvl w:val="0"/>
          <w:numId w:val="8"/>
        </w:numPr>
        <w:ind w:left="720" w:hanging="360"/>
        <w:rPr>
          <w:u w:val="none"/>
        </w:rPr>
      </w:pPr>
      <w:r w:rsidDel="00000000" w:rsidR="00000000" w:rsidRPr="00000000">
        <w:rPr>
          <w:rtl w:val="0"/>
        </w:rPr>
        <w:t xml:space="preserve">The County rejected the Union’s proposal to change the termination date of the CBA to April 30th due to the budgeting and operational needs to remain aligned with the Fiscal Year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New Article - Artificial Intelligence</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The County rejected the Union’s new proposed article on the use of Artificial Intelligence as this is a permissive subject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While we have a long ways to go on several items, we are happy to have come to so many Tentative Agreements so early in the process, which are: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Article 1 - Preamble (4/3/2025)</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Article 3 - Recognition (5/15/2025)</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Article 4 - Management Rights (4/3/2025)</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Article 6 - No Strike or Lockout (4/3/2025)</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Article 11 - Health and Welfare (5/15/2025)</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Article 23 - Personnel Rules and Records (5/15/2025)</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Article 27 - Savings Clause and Funding (3/13/2025)</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Article 28 - Entire Agreement (5/15/2025)</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Addendum C - Premium Pay and Other Special Provisions (5/15/2025)</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Addendum D - Emergency Conditions Provision (5/15/2025)</w:t>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Addendum J - Health Department (5/15/2025)</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Our next bargaining session will be May 22nd. </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