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9 (August 13,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met for bargaining on July 31,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11 </w:t>
      </w:r>
      <w:r w:rsidDel="00000000" w:rsidR="00000000" w:rsidRPr="00000000">
        <w:rPr>
          <w:rtl w:val="0"/>
        </w:rPr>
        <w:t xml:space="preserve">Articles Pending with Union</w:t>
      </w:r>
    </w:p>
    <w:p w:rsidR="00000000" w:rsidDel="00000000" w:rsidP="00000000" w:rsidRDefault="00000000" w:rsidRPr="00000000" w14:paraId="00000008">
      <w:pPr>
        <w:rPr/>
      </w:pPr>
      <w:r w:rsidDel="00000000" w:rsidR="00000000" w:rsidRPr="00000000">
        <w:rPr>
          <w:b w:val="1"/>
          <w:rtl w:val="0"/>
        </w:rPr>
        <w:t xml:space="preserve">7</w:t>
      </w:r>
      <w:r w:rsidDel="00000000" w:rsidR="00000000" w:rsidRPr="00000000">
        <w:rPr>
          <w:rtl w:val="0"/>
        </w:rPr>
        <w:t xml:space="preserve"> Articles Pending with County</w:t>
      </w:r>
    </w:p>
    <w:p w:rsidR="00000000" w:rsidDel="00000000" w:rsidP="00000000" w:rsidRDefault="00000000" w:rsidRPr="00000000" w14:paraId="00000009">
      <w:pPr>
        <w:rPr/>
      </w:pPr>
      <w:r w:rsidDel="00000000" w:rsidR="00000000" w:rsidRPr="00000000">
        <w:rPr>
          <w:b w:val="1"/>
          <w:rtl w:val="0"/>
        </w:rPr>
        <w:t xml:space="preserve">6</w:t>
      </w:r>
      <w:r w:rsidDel="00000000" w:rsidR="00000000" w:rsidRPr="00000000">
        <w:rPr>
          <w:rtl w:val="0"/>
        </w:rPr>
        <w:t xml:space="preserve"> Addenda Pending with Union</w:t>
      </w:r>
    </w:p>
    <w:p w:rsidR="00000000" w:rsidDel="00000000" w:rsidP="00000000" w:rsidRDefault="00000000" w:rsidRPr="00000000" w14:paraId="0000000A">
      <w:pPr>
        <w:rPr/>
      </w:pPr>
      <w:r w:rsidDel="00000000" w:rsidR="00000000" w:rsidRPr="00000000">
        <w:rPr>
          <w:b w:val="1"/>
          <w:rtl w:val="0"/>
        </w:rPr>
        <w:t xml:space="preserve">3</w:t>
      </w:r>
      <w:r w:rsidDel="00000000" w:rsidR="00000000" w:rsidRPr="00000000">
        <w:rPr>
          <w:rtl w:val="0"/>
        </w:rPr>
        <w:t xml:space="preserve"> Addenda Pending with County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July 31:</w:t>
      </w:r>
    </w:p>
    <w:p w:rsidR="00000000" w:rsidDel="00000000" w:rsidP="00000000" w:rsidRDefault="00000000" w:rsidRPr="00000000" w14:paraId="0000000D">
      <w:pPr>
        <w:rPr>
          <w:highlight w:val="yellow"/>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Union:</w:t>
      </w:r>
    </w:p>
    <w:p w:rsidR="00000000" w:rsidDel="00000000" w:rsidP="00000000" w:rsidRDefault="00000000" w:rsidRPr="00000000" w14:paraId="0000000F">
      <w:pPr>
        <w:rPr>
          <w:b w:val="1"/>
          <w:highlight w:val="yellow"/>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Article 5 - Union Security</w:t>
      </w:r>
      <w:r w:rsidDel="00000000" w:rsidR="00000000" w:rsidRPr="00000000">
        <w:rPr>
          <w:rtl w:val="0"/>
        </w:rPr>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The County first opened this Article on March 6th; this is the Union’s second counter-proposal</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The Union maintains their rejection of the County’s ask for a list of designated Union representatives, and re-incorporated their proposal for additional time off for the Union cabinet and increased badge access to County facilities for representatives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Article 9 - Sick Leave</w:t>
      </w:r>
      <w:r w:rsidDel="00000000" w:rsidR="00000000" w:rsidRPr="00000000">
        <w:rPr>
          <w:rtl w:val="0"/>
        </w:rPr>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The County first opened this Article on March 13th; this is the Union’s second counter-proposal</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The Union proposes making any use of sick time “protected,” no requiring medical verification of an absence until all leave is exhausted (sick, vacation, holiday, etc.), and adds a requirement that prior to a Fitness for Duty exam, the County must “exhaust all options to make a reasonable accommodation” prior to requesting a Fitness for Duty assessment</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Article 18 - Settlement of Disputes</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 Union first opened this article on February 27th; this is their second counter-proposal</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The Union proposed pausing grievance timelines when parties attempt to work through an issue informally; the Union is also maintaining that employees have a right to Union representation during the ADA process. (Current practice allows for an employee to have a support person, and they may elect a union representative to be that support person, but they are not acting in a steward capacity.)</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Article 20 - Workload and Standards</w:t>
      </w:r>
      <w:r w:rsidDel="00000000" w:rsidR="00000000" w:rsidRPr="00000000">
        <w:rPr>
          <w:rtl w:val="0"/>
        </w:rPr>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The Union first opened this article on April 3rd and it has gone back and forth a few times; this was their third counter-proposal</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The Union and County have both done significant work to move closer together on this Article, with the Union’s latest proposal accepting the County’s language on taking staffing concerns to Labor Management Committees rather than having those be subject to impact bargaining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Article 24 - Non-Discrimination </w:t>
      </w: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The Union first opened this Article on March 27th and the County countered on July 10th; this is the Union’s first counter-proposal</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The Union’s proposal incorporates a statement on Diversity, Equity, and Inclusion into the contract; it also expands the definition of microaggressions and grants employees the right to grieve the denial of an investigation or an unsubstantiated finding of a protected class complaint</w:t>
      </w:r>
    </w:p>
    <w:p w:rsidR="00000000" w:rsidDel="00000000" w:rsidP="00000000" w:rsidRDefault="00000000" w:rsidRPr="00000000" w14:paraId="00000023">
      <w:pPr>
        <w:rPr>
          <w:highlight w:val="yellow"/>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Proposed by County: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County did not provide any counter-proposals at our last session.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During our bargaining session on July 24, 2025, the County presented a package proposal of 7 articles and 6 addenda (see Bargaining Update 8, linked below.) Following this, the Union has responded with proposals on an article-by article basis. While this indicates a rejection of the County’s full package proposal, the Union has not yet submitted revised proposals or or counterproposals regarding compensation issues (e.g. Article 7 Holiday, Article 8 Vacation Leave, Article 14 Compensation, etc.) The County has communicated to the Union’s bargaining that we will hold off on responding to individual proposals until the Union presents its updated financial asks.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Tentative Agreements as of August 12, 2025:</w:t>
      </w:r>
    </w:p>
    <w:p w:rsidR="00000000" w:rsidDel="00000000" w:rsidP="00000000" w:rsidRDefault="00000000" w:rsidRPr="00000000" w14:paraId="0000002B">
      <w:pPr>
        <w:rPr>
          <w:b w:val="1"/>
          <w:highlight w:val="yellow"/>
        </w:rPr>
      </w:pPr>
      <w:r w:rsidDel="00000000" w:rsidR="00000000" w:rsidRPr="00000000">
        <w:rPr>
          <w:rtl w:val="0"/>
        </w:rPr>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Article 1 - Preamble (4/3/2025)</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Article 3 - Recognition (5/15/2025)</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Article 4 - Management Rights (4/3/2025)</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Article 6 - No Strike or Lockout (4/3/2025)</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Article 11 - Health and Welfare (5/15/2025)</w:t>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Article 12 - Workers Compensation and Supplemental Benefits (5/22/2025)</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Article 16 - Pensions (5/22/2025)</w:t>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Article 17 - Disciplinary Action (5/22/2025)</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Article 23 - Personnel Rules and Records (5/15/2025)</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Article 27 - Savings Clause and Funding (3/13/2025)</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Article 28 - Entire Agreement (5/15/2025)</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Addendum C - Premium Pay and Other Special Provisions (5/15/2025)</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Addendum D - Emergency Conditions Provision (5/15/2025)</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Addendum F - Library Department (7/3/2025)</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Addendum J - Health Department (5/15/2025)</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Our next bargaining session is scheduled for August 14.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