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b w:val="1"/>
          <w:bCs w:val="1"/>
          <w:sz w:val="2"/>
          <w:szCs w:val="2"/>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3345"/>
        <w:gridCol w:w="1725"/>
        <w:gridCol w:w="4035"/>
        <w:tblGridChange w:id="0">
          <w:tblGrid>
            <w:gridCol w:w="1695"/>
            <w:gridCol w:w="3345"/>
            <w:gridCol w:w="1725"/>
            <w:gridCol w:w="403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06">
      <w:pPr>
        <w:spacing w:after="0" w:lineRule="auto"/>
        <w:rPr>
          <w:b w:val="1"/>
          <w:bCs w:val="1"/>
          <w:sz w:val="2"/>
          <w:szCs w:val="2"/>
        </w:rPr>
      </w:pPr>
      <w:r w:rsidDel="00000000" w:rsidR="00000000" w:rsidRPr="00000000">
        <w:rPr>
          <w:rtl w:val="0"/>
        </w:rPr>
      </w:r>
    </w:p>
    <w:tbl>
      <w:tblPr>
        <w:tblStyle w:val="Table2"/>
        <w:tblW w:w="1080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3"/>
        <w:tblGridChange w:id="0">
          <w:tblGrid>
            <w:gridCol w:w="10803"/>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7">
            <w:pPr>
              <w:pStyle w:val="Heading2"/>
              <w:spacing w:after="0" w:before="0" w:lineRule="auto"/>
              <w:ind w:left="0" w:right="-90" w:firstLine="0"/>
              <w:rPr>
                <w:rFonts w:ascii="Helvetica Neue" w:cs="Helvetica Neue" w:eastAsia="Helvetica Neue" w:hAnsi="Helvetica Neue"/>
                <w:b w:val="1"/>
                <w:bCs w:val="1"/>
                <w:sz w:val="24"/>
                <w:szCs w:val="24"/>
              </w:rPr>
            </w:pPr>
            <w:bookmarkStart w:colFirst="0" w:colLast="0" w:name="_d7moyd68ox6x" w:id="0"/>
            <w:bookmarkEnd w:id="0"/>
            <w:r w:rsidDel="00000000" w:rsidR="00000000" w:rsidRPr="00000000">
              <w:rPr>
                <w:rFonts w:ascii="Helvetica Neue" w:cs="Helvetica Neue" w:eastAsia="Helvetica Neue" w:hAnsi="Helvetica Neue"/>
                <w:b w:val="1"/>
                <w:bCs w:val="1"/>
                <w:sz w:val="24"/>
                <w:szCs w:val="24"/>
                <w:rtl w:val="0"/>
              </w:rPr>
              <w:t xml:space="preserve">Goal</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8">
            <w:pPr>
              <w:pStyle w:val="Heading2"/>
              <w:spacing w:after="0" w:before="0" w:lineRule="auto"/>
              <w:rPr>
                <w:rFonts w:ascii="Helvetica Neue" w:cs="Helvetica Neue" w:eastAsia="Helvetica Neue" w:hAnsi="Helvetica Neue"/>
                <w:i w:val="1"/>
                <w:iCs w:val="1"/>
                <w:sz w:val="20"/>
                <w:szCs w:val="20"/>
              </w:rPr>
            </w:pPr>
            <w:bookmarkStart w:colFirst="0" w:colLast="0" w:name="_h6mre3gghxiv" w:id="1"/>
            <w:bookmarkEnd w:id="1"/>
            <w:r w:rsidDel="00000000" w:rsidR="00000000" w:rsidRPr="00000000">
              <w:rPr>
                <w:i w:val="1"/>
                <w:iCs w:val="1"/>
                <w:sz w:val="20"/>
                <w:szCs w:val="20"/>
                <w:rtl w:val="0"/>
              </w:rPr>
              <w:t xml:space="preserve">Every community member has access to affordable clean energy.</w:t>
            </w:r>
            <w:r w:rsidDel="00000000" w:rsidR="00000000" w:rsidRPr="00000000">
              <w:rPr>
                <w:rtl w:val="0"/>
              </w:rPr>
            </w:r>
          </w:p>
        </w:tc>
      </w:tr>
    </w:tbl>
    <w:p w:rsidR="00000000" w:rsidDel="00000000" w:rsidP="00000000" w:rsidRDefault="00000000" w:rsidRPr="00000000" w14:paraId="00000009">
      <w:pPr>
        <w:rPr>
          <w:sz w:val="2"/>
          <w:szCs w:val="2"/>
        </w:rPr>
      </w:pPr>
      <w:r w:rsidDel="00000000" w:rsidR="00000000" w:rsidRPr="00000000">
        <w:rPr>
          <w:rtl w:val="0"/>
        </w:rPr>
      </w:r>
    </w:p>
    <w:tbl>
      <w:tblPr>
        <w:tblStyle w:val="Table3"/>
        <w:tblW w:w="10803.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3.000000000002"/>
        <w:tblGridChange w:id="0">
          <w:tblGrid>
            <w:gridCol w:w="10803.00000000000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A">
            <w:pPr>
              <w:pStyle w:val="Heading2"/>
              <w:spacing w:after="0" w:before="0" w:lineRule="auto"/>
              <w:rPr>
                <w:b w:val="1"/>
                <w:bCs w:val="1"/>
                <w:sz w:val="24"/>
                <w:szCs w:val="24"/>
              </w:rPr>
            </w:pPr>
            <w:bookmarkStart w:colFirst="0" w:colLast="0" w:name="_d7moyd68ox6x" w:id="0"/>
            <w:bookmarkEnd w:id="0"/>
            <w:r w:rsidDel="00000000" w:rsidR="00000000" w:rsidRPr="00000000">
              <w:rPr>
                <w:b w:val="1"/>
                <w:bCs w:val="1"/>
                <w:sz w:val="24"/>
                <w:szCs w:val="24"/>
                <w:rtl w:val="0"/>
              </w:rPr>
              <w:t xml:space="preserve">Description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B">
            <w:pPr>
              <w:spacing w:after="100" w:line="276" w:lineRule="auto"/>
              <w:rPr>
                <w:sz w:val="20"/>
                <w:szCs w:val="20"/>
              </w:rPr>
            </w:pPr>
            <w:r w:rsidDel="00000000" w:rsidR="00000000" w:rsidRPr="00000000">
              <w:rPr>
                <w:sz w:val="20"/>
                <w:szCs w:val="20"/>
                <w:rtl w:val="0"/>
              </w:rPr>
              <w:t xml:space="preserve">Ensuring that every community member has access to affordable clean energy is a cornerstone of climate justice. Energy is essential for survival and for a thriving life. However, historical and systemic injustices have limited equal access to energy, including the benefits of clean energy and new technologies. </w:t>
            </w:r>
          </w:p>
          <w:p w:rsidR="00000000" w:rsidDel="00000000" w:rsidP="00000000" w:rsidRDefault="00000000" w:rsidRPr="00000000" w14:paraId="0000000C">
            <w:pPr>
              <w:spacing w:after="100" w:line="276" w:lineRule="auto"/>
              <w:rPr>
                <w:sz w:val="20"/>
                <w:szCs w:val="20"/>
              </w:rPr>
            </w:pPr>
            <w:r w:rsidDel="00000000" w:rsidR="00000000" w:rsidRPr="00000000">
              <w:rPr>
                <w:sz w:val="20"/>
                <w:szCs w:val="20"/>
                <w:rtl w:val="0"/>
              </w:rPr>
              <w:t xml:space="preserve">Our energy systems are changing rapidly due in part to policies that address climate change and to new technologies. But without an explicit commitment to addressing injustices, a clean energy future could continue to leave many behind. A clean energy future in which people cannot afford their energy bills is neither just nor how our community defines success.</w:t>
            </w:r>
          </w:p>
          <w:p w:rsidR="00000000" w:rsidDel="00000000" w:rsidP="00000000" w:rsidRDefault="00000000" w:rsidRPr="00000000" w14:paraId="0000000D">
            <w:pPr>
              <w:spacing w:after="100" w:line="276" w:lineRule="auto"/>
              <w:rPr>
                <w:sz w:val="20"/>
                <w:szCs w:val="20"/>
              </w:rPr>
            </w:pPr>
            <w:r w:rsidDel="00000000" w:rsidR="00000000" w:rsidRPr="00000000">
              <w:rPr>
                <w:sz w:val="20"/>
                <w:szCs w:val="20"/>
                <w:rtl w:val="0"/>
              </w:rPr>
              <w:t xml:space="preserve">The clean energy transition can be a powerful tool for community empowerment, unlocking new job markets and fostering economic prosperity and wealth building. The many organizations and stakeholders engaged in this transition must be intentional to ensure that these benefits accrue to frontline communities, and not only to actors that have traditionally benefited from the energy sector. Reduced pollution from clean energy sources will lead to better health outcomes for everyone. </w:t>
            </w:r>
          </w:p>
          <w:p w:rsidR="00000000" w:rsidDel="00000000" w:rsidP="00000000" w:rsidRDefault="00000000" w:rsidRPr="00000000" w14:paraId="0000000E">
            <w:pPr>
              <w:spacing w:after="0" w:line="276" w:lineRule="auto"/>
              <w:rPr>
                <w:sz w:val="20"/>
                <w:szCs w:val="20"/>
              </w:rPr>
            </w:pPr>
            <w:r w:rsidDel="00000000" w:rsidR="00000000" w:rsidRPr="00000000">
              <w:rPr>
                <w:sz w:val="20"/>
                <w:szCs w:val="20"/>
                <w:rtl w:val="0"/>
              </w:rPr>
              <w:t xml:space="preserve">Ultimately, prioritizing clean energy access builds long-term sustainability and should foster resilient communities prepared for the future.</w:t>
            </w:r>
            <w:r w:rsidDel="00000000" w:rsidR="00000000" w:rsidRPr="00000000">
              <w:rPr>
                <w:rtl w:val="0"/>
              </w:rPr>
            </w:r>
          </w:p>
        </w:tc>
      </w:tr>
    </w:tbl>
    <w:p w:rsidR="00000000" w:rsidDel="00000000" w:rsidP="00000000" w:rsidRDefault="00000000" w:rsidRPr="00000000" w14:paraId="0000000F">
      <w:pPr>
        <w:rPr>
          <w:sz w:val="2"/>
          <w:szCs w:val="2"/>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4500"/>
        <w:tblGridChange w:id="0">
          <w:tblGrid>
            <w:gridCol w:w="6300"/>
            <w:gridCol w:w="4500"/>
          </w:tblGrid>
        </w:tblGridChange>
      </w:tblGrid>
      <w:tr>
        <w:trPr>
          <w:cantSplit w:val="0"/>
          <w:tblHeader w:val="0"/>
        </w:trPr>
        <w:tc>
          <w:tcPr>
            <w:shd w:fill="4b773c" w:val="clear"/>
            <w:tcMar>
              <w:top w:w="100.0" w:type="dxa"/>
              <w:left w:w="100.0" w:type="dxa"/>
              <w:bottom w:w="100.0" w:type="dxa"/>
              <w:right w:w="100.0" w:type="dxa"/>
            </w:tcMar>
            <w:vAlign w:val="top"/>
          </w:tcPr>
          <w:p w:rsidR="00000000" w:rsidDel="00000000" w:rsidP="00000000" w:rsidRDefault="00000000" w:rsidRPr="00000000" w14:paraId="00000010">
            <w:pPr>
              <w:pStyle w:val="Heading2"/>
              <w:spacing w:after="0" w:before="0" w:lineRule="auto"/>
              <w:rPr>
                <w:b w:val="1"/>
                <w:bCs w:val="1"/>
                <w:color w:val="ffffff"/>
                <w:sz w:val="24"/>
                <w:szCs w:val="24"/>
              </w:rPr>
            </w:pPr>
            <w:bookmarkStart w:colFirst="0" w:colLast="0" w:name="_pqsx8vpnyd5e" w:id="2"/>
            <w:bookmarkEnd w:id="2"/>
            <w:r w:rsidDel="00000000" w:rsidR="00000000" w:rsidRPr="00000000">
              <w:rPr>
                <w:b w:val="1"/>
                <w:bCs w:val="1"/>
                <w:color w:val="ffffff"/>
                <w:sz w:val="24"/>
                <w:szCs w:val="24"/>
                <w:rtl w:val="0"/>
              </w:rPr>
              <w:t xml:space="preserve">Metrics</w:t>
            </w:r>
          </w:p>
        </w:tc>
        <w:tc>
          <w:tcPr>
            <w:shd w:fill="4b773c" w:val="clear"/>
            <w:tcMar>
              <w:top w:w="100.0" w:type="dxa"/>
              <w:left w:w="100.0" w:type="dxa"/>
              <w:bottom w:w="100.0" w:type="dxa"/>
              <w:right w:w="100.0" w:type="dxa"/>
            </w:tcMar>
            <w:vAlign w:val="top"/>
          </w:tcPr>
          <w:p w:rsidR="00000000" w:rsidDel="00000000" w:rsidP="00000000" w:rsidRDefault="00000000" w:rsidRPr="00000000" w14:paraId="00000011">
            <w:pPr>
              <w:pStyle w:val="Heading2"/>
              <w:spacing w:after="0" w:before="0" w:lineRule="auto"/>
              <w:rPr>
                <w:b w:val="1"/>
                <w:bCs w:val="1"/>
                <w:color w:val="ffffff"/>
                <w:sz w:val="24"/>
                <w:szCs w:val="24"/>
              </w:rPr>
            </w:pPr>
            <w:bookmarkStart w:colFirst="0" w:colLast="0" w:name="_pqsx8vpnyd5e" w:id="2"/>
            <w:bookmarkEnd w:id="2"/>
            <w:r w:rsidDel="00000000" w:rsidR="00000000" w:rsidRPr="00000000">
              <w:rPr>
                <w:b w:val="1"/>
                <w:bCs w:val="1"/>
                <w:color w:val="ffffff"/>
                <w:sz w:val="24"/>
                <w:szCs w:val="24"/>
                <w:rtl w:val="0"/>
              </w:rPr>
              <w:t xml:space="preserve">Notes</w:t>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2">
            <w:pPr>
              <w:pStyle w:val="Heading2"/>
              <w:spacing w:after="0" w:before="0" w:lineRule="auto"/>
              <w:rPr>
                <w:i w:val="1"/>
                <w:iCs w:val="1"/>
                <w:sz w:val="20"/>
                <w:szCs w:val="20"/>
              </w:rPr>
            </w:pPr>
            <w:bookmarkStart w:colFirst="0" w:colLast="0" w:name="_mh9qvp3zk1hr" w:id="3"/>
            <w:bookmarkEnd w:id="3"/>
            <w:r w:rsidDel="00000000" w:rsidR="00000000" w:rsidRPr="00000000">
              <w:rPr>
                <w:sz w:val="20"/>
                <w:szCs w:val="20"/>
                <w:rtl w:val="0"/>
              </w:rPr>
              <w:t xml:space="preserve">Percentage of energy-burdened households</w:t>
            </w:r>
            <w:r w:rsidDel="00000000" w:rsidR="00000000" w:rsidRPr="00000000">
              <w:rPr>
                <w:rtl w:val="0"/>
              </w:rPr>
            </w:r>
          </w:p>
        </w:tc>
        <w:tc>
          <w:tcPr>
            <w:vMerge w:val="restart"/>
            <w:tcMar>
              <w:top w:w="100.0" w:type="dxa"/>
              <w:left w:w="100.0" w:type="dxa"/>
              <w:bottom w:w="100.0" w:type="dxa"/>
              <w:right w:w="100.0" w:type="dxa"/>
            </w:tcMar>
            <w:vAlign w:val="top"/>
          </w:tcPr>
          <w:p w:rsidR="00000000" w:rsidDel="00000000" w:rsidP="00000000" w:rsidRDefault="00000000" w:rsidRPr="00000000" w14:paraId="00000013">
            <w:pPr>
              <w:pStyle w:val="Heading2"/>
              <w:spacing w:after="0" w:before="0" w:lineRule="auto"/>
              <w:rPr>
                <w:sz w:val="20"/>
                <w:szCs w:val="20"/>
              </w:rPr>
            </w:pPr>
            <w:bookmarkStart w:colFirst="0" w:colLast="0" w:name="_mh9qvp3zk1hr" w:id="3"/>
            <w:bookmarkEnd w:id="3"/>
            <w:r w:rsidDel="00000000" w:rsidR="00000000" w:rsidRPr="00000000">
              <w:rPr>
                <w:rtl w:val="0"/>
              </w:rPr>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4">
            <w:pPr>
              <w:pStyle w:val="Heading2"/>
              <w:spacing w:after="0" w:before="0" w:lineRule="auto"/>
              <w:rPr>
                <w:sz w:val="20"/>
                <w:szCs w:val="20"/>
              </w:rPr>
            </w:pPr>
            <w:bookmarkStart w:colFirst="0" w:colLast="0" w:name="_6e6nqfb9bijr" w:id="4"/>
            <w:bookmarkEnd w:id="4"/>
            <w:r w:rsidDel="00000000" w:rsidR="00000000" w:rsidRPr="00000000">
              <w:rPr>
                <w:sz w:val="20"/>
                <w:szCs w:val="20"/>
                <w:rtl w:val="0"/>
              </w:rPr>
              <w:t xml:space="preserve">Percentage of eligible households participating in low-income bill discount programs</w:t>
            </w:r>
          </w:p>
        </w:tc>
        <w:tc>
          <w:tcPr>
            <w:vMerge w:val="continue"/>
            <w:tcMar>
              <w:top w:w="100.0" w:type="dxa"/>
              <w:left w:w="100.0" w:type="dxa"/>
              <w:bottom w:w="100.0" w:type="dxa"/>
              <w:right w:w="100.0" w:type="dxa"/>
            </w:tcMar>
            <w:vAlign w:val="top"/>
          </w:tcPr>
          <w:p w:rsidR="00000000" w:rsidDel="00000000" w:rsidP="00000000" w:rsidRDefault="00000000" w:rsidRPr="00000000" w14:paraId="00000015">
            <w:pPr>
              <w:spacing w:after="0" w:before="0" w:line="240" w:lineRule="auto"/>
              <w:ind w:left="0" w:firstLine="0"/>
              <w:rPr>
                <w:sz w:val="20"/>
                <w:szCs w:val="20"/>
              </w:rPr>
            </w:pPr>
            <w:bookmarkStart w:colFirst="0" w:colLast="0" w:name="_6e6nqfb9bijr" w:id="4"/>
            <w:bookmarkEnd w:id="4"/>
            <w:r w:rsidDel="00000000" w:rsidR="00000000" w:rsidRPr="00000000">
              <w:rPr>
                <w:rtl w:val="0"/>
              </w:rPr>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6">
            <w:pPr>
              <w:pStyle w:val="Heading2"/>
              <w:spacing w:after="0" w:before="0" w:lineRule="auto"/>
              <w:rPr>
                <w:sz w:val="20"/>
                <w:szCs w:val="20"/>
              </w:rPr>
            </w:pPr>
            <w:bookmarkStart w:colFirst="0" w:colLast="0" w:name="_6e6nqfb9bijr" w:id="4"/>
            <w:bookmarkEnd w:id="4"/>
            <w:r w:rsidDel="00000000" w:rsidR="00000000" w:rsidRPr="00000000">
              <w:rPr>
                <w:sz w:val="20"/>
                <w:szCs w:val="20"/>
                <w:rtl w:val="0"/>
              </w:rPr>
              <w:t xml:space="preserve">Disconnection rates</w:t>
            </w:r>
          </w:p>
        </w:tc>
        <w:tc>
          <w:tcPr>
            <w:vMerge w:val="continue"/>
            <w:tcMar>
              <w:top w:w="100.0" w:type="dxa"/>
              <w:left w:w="100.0" w:type="dxa"/>
              <w:bottom w:w="100.0" w:type="dxa"/>
              <w:right w:w="100.0" w:type="dxa"/>
            </w:tcMar>
            <w:vAlign w:val="top"/>
          </w:tcPr>
          <w:p w:rsidR="00000000" w:rsidDel="00000000" w:rsidP="00000000" w:rsidRDefault="00000000" w:rsidRPr="00000000" w14:paraId="00000017">
            <w:pPr>
              <w:spacing w:after="0" w:before="0" w:line="240" w:lineRule="auto"/>
              <w:ind w:left="0" w:firstLine="0"/>
              <w:rPr>
                <w:sz w:val="20"/>
                <w:szCs w:val="20"/>
              </w:rPr>
            </w:pPr>
            <w:bookmarkStart w:colFirst="0" w:colLast="0" w:name="_6e6nqfb9bijr" w:id="4"/>
            <w:bookmarkEnd w:id="4"/>
            <w:r w:rsidDel="00000000" w:rsidR="00000000" w:rsidRPr="00000000">
              <w:rPr>
                <w:rtl w:val="0"/>
              </w:rPr>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8">
            <w:pPr>
              <w:pStyle w:val="Heading2"/>
              <w:spacing w:after="0" w:before="0" w:lineRule="auto"/>
              <w:rPr>
                <w:sz w:val="20"/>
                <w:szCs w:val="20"/>
              </w:rPr>
            </w:pPr>
            <w:bookmarkStart w:colFirst="0" w:colLast="0" w:name="_6e6nqfb9bijr" w:id="4"/>
            <w:bookmarkEnd w:id="4"/>
            <w:r w:rsidDel="00000000" w:rsidR="00000000" w:rsidRPr="00000000">
              <w:rPr>
                <w:sz w:val="20"/>
                <w:szCs w:val="20"/>
                <w:rtl w:val="0"/>
              </w:rPr>
              <w:t xml:space="preserve">Percentage of total energy use served by community-based sources</w:t>
            </w:r>
          </w:p>
        </w:tc>
        <w:tc>
          <w:tcPr>
            <w:vMerge w:val="continue"/>
            <w:tcMar>
              <w:top w:w="100.0" w:type="dxa"/>
              <w:left w:w="100.0" w:type="dxa"/>
              <w:bottom w:w="100.0" w:type="dxa"/>
              <w:right w:w="100.0" w:type="dxa"/>
            </w:tcMar>
            <w:vAlign w:val="top"/>
          </w:tcPr>
          <w:p w:rsidR="00000000" w:rsidDel="00000000" w:rsidP="00000000" w:rsidRDefault="00000000" w:rsidRPr="00000000" w14:paraId="00000019">
            <w:pPr>
              <w:spacing w:after="0" w:before="0" w:line="240" w:lineRule="auto"/>
              <w:ind w:left="0" w:firstLine="0"/>
              <w:rPr>
                <w:sz w:val="20"/>
                <w:szCs w:val="20"/>
              </w:rPr>
            </w:pPr>
            <w:bookmarkStart w:colFirst="0" w:colLast="0" w:name="_6e6nqfb9bijr" w:id="4"/>
            <w:bookmarkEnd w:id="4"/>
            <w:r w:rsidDel="00000000" w:rsidR="00000000" w:rsidRPr="00000000">
              <w:rPr>
                <w:rtl w:val="0"/>
              </w:rPr>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A">
            <w:pPr>
              <w:pStyle w:val="Heading2"/>
              <w:spacing w:after="0" w:before="0" w:lineRule="auto"/>
              <w:rPr>
                <w:sz w:val="20"/>
                <w:szCs w:val="20"/>
              </w:rPr>
            </w:pPr>
            <w:bookmarkStart w:colFirst="0" w:colLast="0" w:name="_6e6nqfb9bijr" w:id="4"/>
            <w:bookmarkEnd w:id="4"/>
            <w:r w:rsidDel="00000000" w:rsidR="00000000" w:rsidRPr="00000000">
              <w:rPr>
                <w:sz w:val="20"/>
                <w:szCs w:val="20"/>
                <w:rtl w:val="0"/>
              </w:rPr>
              <w:t xml:space="preserve">Percentage of low-income customers accessing clean energy opportunities (i.e., community solar, rooftop solar, storage incentives, etc.) disaggregated by race and ethnicity</w:t>
            </w:r>
          </w:p>
        </w:tc>
        <w:tc>
          <w:tcPr>
            <w:vMerge w:val="continue"/>
            <w:tcMar>
              <w:top w:w="100.0" w:type="dxa"/>
              <w:left w:w="100.0" w:type="dxa"/>
              <w:bottom w:w="100.0" w:type="dxa"/>
              <w:right w:w="100.0" w:type="dxa"/>
            </w:tcMar>
            <w:vAlign w:val="top"/>
          </w:tcPr>
          <w:p w:rsidR="00000000" w:rsidDel="00000000" w:rsidP="00000000" w:rsidRDefault="00000000" w:rsidRPr="00000000" w14:paraId="0000001B">
            <w:pPr>
              <w:spacing w:after="0" w:before="0" w:line="240" w:lineRule="auto"/>
              <w:ind w:left="0" w:firstLine="0"/>
              <w:rPr>
                <w:sz w:val="20"/>
                <w:szCs w:val="20"/>
              </w:rPr>
            </w:pPr>
            <w:bookmarkStart w:colFirst="0" w:colLast="0" w:name="_6e6nqfb9bijr" w:id="4"/>
            <w:bookmarkEnd w:id="4"/>
            <w:r w:rsidDel="00000000" w:rsidR="00000000" w:rsidRPr="00000000">
              <w:rPr>
                <w:rtl w:val="0"/>
              </w:rPr>
            </w:r>
          </w:p>
        </w:tc>
      </w:tr>
    </w:tbl>
    <w:p w:rsidR="00000000" w:rsidDel="00000000" w:rsidP="00000000" w:rsidRDefault="00000000" w:rsidRPr="00000000" w14:paraId="0000001C">
      <w:pPr>
        <w:rPr>
          <w:sz w:val="2"/>
          <w:szCs w:val="2"/>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5"/>
        <w:gridCol w:w="5415"/>
        <w:tblGridChange w:id="0">
          <w:tblGrid>
            <w:gridCol w:w="5385"/>
            <w:gridCol w:w="5415"/>
          </w:tblGrid>
        </w:tblGridChange>
      </w:tblGrid>
      <w:tr>
        <w:trPr>
          <w:cantSplit w:val="0"/>
          <w:tblHeader w:val="0"/>
        </w:trPr>
        <w:tc>
          <w:tcPr>
            <w:shd w:fill="2e6196" w:val="clear"/>
            <w:tcMar>
              <w:top w:w="100.0" w:type="dxa"/>
              <w:left w:w="100.0" w:type="dxa"/>
              <w:bottom w:w="100.0" w:type="dxa"/>
              <w:right w:w="100.0" w:type="dxa"/>
            </w:tcMar>
            <w:vAlign w:val="top"/>
          </w:tcPr>
          <w:p w:rsidR="00000000" w:rsidDel="00000000" w:rsidP="00000000" w:rsidRDefault="00000000" w:rsidRPr="00000000" w14:paraId="0000001D">
            <w:pPr>
              <w:pStyle w:val="Heading2"/>
              <w:spacing w:after="0" w:before="0" w:lineRule="auto"/>
              <w:rPr>
                <w:b w:val="1"/>
                <w:bCs w:val="1"/>
                <w:color w:val="ffffff"/>
                <w:sz w:val="24"/>
                <w:szCs w:val="24"/>
              </w:rPr>
            </w:pPr>
            <w:bookmarkStart w:colFirst="0" w:colLast="0" w:name="_pqsx8vpnyd5e" w:id="2"/>
            <w:bookmarkEnd w:id="2"/>
            <w:r w:rsidDel="00000000" w:rsidR="00000000" w:rsidRPr="00000000">
              <w:rPr>
                <w:b w:val="1"/>
                <w:bCs w:val="1"/>
                <w:color w:val="ffffff"/>
                <w:sz w:val="24"/>
                <w:szCs w:val="24"/>
                <w:rtl w:val="0"/>
              </w:rPr>
              <w:t xml:space="preserve">Strategies</w:t>
            </w:r>
          </w:p>
        </w:tc>
        <w:tc>
          <w:tcPr>
            <w:shd w:fill="2e6196" w:val="clear"/>
            <w:tcMar>
              <w:top w:w="100.0" w:type="dxa"/>
              <w:left w:w="100.0" w:type="dxa"/>
              <w:bottom w:w="100.0" w:type="dxa"/>
              <w:right w:w="100.0" w:type="dxa"/>
            </w:tcMar>
            <w:vAlign w:val="top"/>
          </w:tcPr>
          <w:p w:rsidR="00000000" w:rsidDel="00000000" w:rsidP="00000000" w:rsidRDefault="00000000" w:rsidRPr="00000000" w14:paraId="0000001E">
            <w:pPr>
              <w:pStyle w:val="Heading2"/>
              <w:spacing w:after="0" w:before="0" w:lineRule="auto"/>
              <w:rPr>
                <w:b w:val="1"/>
                <w:bCs w:val="1"/>
                <w:color w:val="ffffff"/>
                <w:sz w:val="24"/>
                <w:szCs w:val="24"/>
              </w:rPr>
            </w:pPr>
            <w:bookmarkStart w:colFirst="0" w:colLast="0" w:name="_mfgftigjn6kc" w:id="5"/>
            <w:bookmarkEnd w:id="5"/>
            <w:r w:rsidDel="00000000" w:rsidR="00000000" w:rsidRPr="00000000">
              <w:rPr>
                <w:b w:val="1"/>
                <w:bCs w:val="1"/>
                <w:color w:val="ffffff"/>
                <w:sz w:val="24"/>
                <w:szCs w:val="24"/>
                <w:rtl w:val="0"/>
              </w:rPr>
              <w:t xml:space="preserve">Description</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1F">
            <w:pPr>
              <w:pStyle w:val="Heading2"/>
              <w:spacing w:after="100" w:before="0" w:lineRule="auto"/>
              <w:rPr>
                <w:sz w:val="20"/>
                <w:szCs w:val="20"/>
              </w:rPr>
            </w:pPr>
            <w:bookmarkStart w:colFirst="0" w:colLast="0" w:name="_2m2uksw52mgn" w:id="6"/>
            <w:bookmarkEnd w:id="6"/>
            <w:r w:rsidDel="00000000" w:rsidR="00000000" w:rsidRPr="00000000">
              <w:rPr>
                <w:sz w:val="20"/>
                <w:szCs w:val="20"/>
                <w:rtl w:val="0"/>
              </w:rPr>
              <w:t xml:space="preserve">Limit rate increases, potentially by setting rate caps on energy prices with limits on increases that are in line with the cost of living and inflation or other appropriate protective strategies.</w:t>
            </w:r>
          </w:p>
          <w:p w:rsidR="00000000" w:rsidDel="00000000" w:rsidP="00000000" w:rsidRDefault="00000000" w:rsidRPr="00000000" w14:paraId="00000020">
            <w:pPr>
              <w:spacing w:line="240" w:lineRule="auto"/>
              <w:rPr>
                <w:i w:val="1"/>
                <w:iCs w:val="1"/>
                <w:sz w:val="20"/>
                <w:szCs w:val="20"/>
              </w:rPr>
            </w:pPr>
            <w:r w:rsidDel="00000000" w:rsidR="00000000" w:rsidRPr="00000000">
              <w:rPr>
                <w:i w:val="1"/>
                <w:iCs w:val="1"/>
                <w:sz w:val="16"/>
                <w:szCs w:val="16"/>
                <w:rtl w:val="0"/>
              </w:rPr>
              <w:t xml:space="preserve">Type of action: Advocacy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1">
            <w:pPr>
              <w:pStyle w:val="Heading2"/>
              <w:spacing w:after="0" w:before="0" w:lineRule="auto"/>
              <w:rPr>
                <w:sz w:val="16"/>
                <w:szCs w:val="16"/>
              </w:rPr>
            </w:pPr>
            <w:bookmarkStart w:colFirst="0" w:colLast="0" w:name="_6e6nqfb9bijr" w:id="4"/>
            <w:bookmarkEnd w:id="4"/>
            <w:r w:rsidDel="00000000" w:rsidR="00000000" w:rsidRPr="00000000">
              <w:rPr>
                <w:sz w:val="16"/>
                <w:szCs w:val="16"/>
                <w:rtl w:val="0"/>
              </w:rPr>
              <w:t xml:space="preserve">Advocate at the state Legislature and Public Utility Commission for limits on utility rate increases for residential customers — whether through rate caps or other strategies — to ensure utilities are incentivized to limit their costs and do not shift risks to customers while meeting state policy and prioritizing community benefits.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2">
            <w:pPr>
              <w:pStyle w:val="Heading2"/>
              <w:spacing w:after="100" w:before="0" w:lineRule="auto"/>
              <w:rPr>
                <w:sz w:val="20"/>
                <w:szCs w:val="20"/>
              </w:rPr>
            </w:pPr>
            <w:bookmarkStart w:colFirst="0" w:colLast="0" w:name="_xqer6r2ffod3" w:id="7"/>
            <w:bookmarkEnd w:id="7"/>
            <w:r w:rsidDel="00000000" w:rsidR="00000000" w:rsidRPr="00000000">
              <w:rPr>
                <w:sz w:val="20"/>
                <w:szCs w:val="20"/>
                <w:rtl w:val="0"/>
              </w:rPr>
              <w:t xml:space="preserve">Expand community solar and other community-benefitting local projects on public buildings/land (publicly owned solar) and combine with battery storage wherever it is feasible.</w:t>
            </w:r>
          </w:p>
          <w:p w:rsidR="00000000" w:rsidDel="00000000" w:rsidP="00000000" w:rsidRDefault="00000000" w:rsidRPr="00000000" w14:paraId="00000023">
            <w:pPr>
              <w:spacing w:line="240" w:lineRule="auto"/>
              <w:rPr>
                <w:i w:val="1"/>
                <w:iCs w:val="1"/>
                <w:sz w:val="20"/>
                <w:szCs w:val="20"/>
              </w:rPr>
            </w:pPr>
            <w:r w:rsidDel="00000000" w:rsidR="00000000" w:rsidRPr="00000000">
              <w:rPr>
                <w:i w:val="1"/>
                <w:iCs w:val="1"/>
                <w:sz w:val="16"/>
                <w:szCs w:val="16"/>
                <w:rtl w:val="0"/>
              </w:rPr>
              <w:t xml:space="preserve">Type of action: Advocacy; Create/fund program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4">
            <w:pPr>
              <w:pStyle w:val="Heading2"/>
              <w:spacing w:after="0" w:before="0" w:lineRule="auto"/>
              <w:rPr>
                <w:sz w:val="16"/>
                <w:szCs w:val="16"/>
              </w:rPr>
            </w:pPr>
            <w:bookmarkStart w:colFirst="0" w:colLast="0" w:name="_mfdd6e44hq6v" w:id="8"/>
            <w:bookmarkEnd w:id="8"/>
            <w:r w:rsidDel="00000000" w:rsidR="00000000" w:rsidRPr="00000000">
              <w:rPr>
                <w:sz w:val="16"/>
                <w:szCs w:val="16"/>
                <w:rtl w:val="0"/>
              </w:rPr>
              <w:t xml:space="preserve">Develop a solar-feasibility map of public buildings/land and work with partners to develop projects whenever feasible. Ensure that solar and battery storage are developed as part of major County projects wherever feasible.</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5">
            <w:pPr>
              <w:pStyle w:val="Heading2"/>
              <w:spacing w:after="100" w:before="0" w:lineRule="auto"/>
              <w:rPr>
                <w:sz w:val="20"/>
                <w:szCs w:val="20"/>
              </w:rPr>
            </w:pPr>
            <w:bookmarkStart w:colFirst="0" w:colLast="0" w:name="_yyrm69ytvr6j" w:id="9"/>
            <w:bookmarkEnd w:id="9"/>
            <w:r w:rsidDel="00000000" w:rsidR="00000000" w:rsidRPr="00000000">
              <w:rPr>
                <w:sz w:val="20"/>
                <w:szCs w:val="20"/>
                <w:rtl w:val="0"/>
              </w:rPr>
              <w:t xml:space="preserve">Enhance incentives for fuel switching and electrification.</w:t>
            </w:r>
          </w:p>
          <w:p w:rsidR="00000000" w:rsidDel="00000000" w:rsidP="00000000" w:rsidRDefault="00000000" w:rsidRPr="00000000" w14:paraId="00000026">
            <w:pPr>
              <w:spacing w:line="240" w:lineRule="auto"/>
              <w:rPr>
                <w:i w:val="1"/>
                <w:iCs w:val="1"/>
                <w:sz w:val="20"/>
                <w:szCs w:val="20"/>
              </w:rPr>
            </w:pPr>
            <w:r w:rsidDel="00000000" w:rsidR="00000000" w:rsidRPr="00000000">
              <w:rPr>
                <w:i w:val="1"/>
                <w:iCs w:val="1"/>
                <w:sz w:val="16"/>
                <w:szCs w:val="16"/>
                <w:rtl w:val="0"/>
              </w:rPr>
              <w:t xml:space="preserve">Type of action: Advocacy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7">
            <w:pPr>
              <w:pStyle w:val="Heading2"/>
              <w:spacing w:after="0" w:before="0" w:lineRule="auto"/>
              <w:rPr>
                <w:sz w:val="16"/>
                <w:szCs w:val="16"/>
              </w:rPr>
            </w:pPr>
            <w:bookmarkStart w:colFirst="0" w:colLast="0" w:name="_lvcyv1a2fktu" w:id="10"/>
            <w:bookmarkEnd w:id="10"/>
            <w:r w:rsidDel="00000000" w:rsidR="00000000" w:rsidRPr="00000000">
              <w:rPr>
                <w:sz w:val="16"/>
                <w:szCs w:val="16"/>
                <w:rtl w:val="0"/>
              </w:rPr>
              <w:t xml:space="preserve">Advocate for changes to federal and state programs, as well as the Energy Trust of Oregon, to explicitly support the electrification of end uses, including fuel switching from methane (natural gas) to electric sources of heating and cooking.</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8">
            <w:pPr>
              <w:pStyle w:val="Heading2"/>
              <w:spacing w:after="100" w:before="0" w:lineRule="auto"/>
              <w:rPr>
                <w:sz w:val="20"/>
                <w:szCs w:val="20"/>
              </w:rPr>
            </w:pPr>
            <w:bookmarkStart w:colFirst="0" w:colLast="0" w:name="_tw5tfnn8woax" w:id="11"/>
            <w:bookmarkEnd w:id="11"/>
            <w:r w:rsidDel="00000000" w:rsidR="00000000" w:rsidRPr="00000000">
              <w:rPr>
                <w:sz w:val="20"/>
                <w:szCs w:val="20"/>
                <w:rtl w:val="0"/>
              </w:rPr>
              <w:t xml:space="preserve">Strengthen low-income customer policies, including the bill discount program, by increasing income limits and discount levels, as well as adopting additional disconnection protections and arrears management tools. Fundamentally change qualifications across energy programs, including determining eligibility using alternatives to income qualification.</w:t>
            </w:r>
          </w:p>
          <w:p w:rsidR="00000000" w:rsidDel="00000000" w:rsidP="00000000" w:rsidRDefault="00000000" w:rsidRPr="00000000" w14:paraId="00000029">
            <w:pPr>
              <w:spacing w:line="240" w:lineRule="auto"/>
              <w:rPr>
                <w:i w:val="1"/>
                <w:iCs w:val="1"/>
                <w:sz w:val="20"/>
                <w:szCs w:val="20"/>
              </w:rPr>
            </w:pPr>
            <w:r w:rsidDel="00000000" w:rsidR="00000000" w:rsidRPr="00000000">
              <w:rPr>
                <w:i w:val="1"/>
                <w:iCs w:val="1"/>
                <w:sz w:val="16"/>
                <w:szCs w:val="16"/>
                <w:rtl w:val="0"/>
              </w:rPr>
              <w:t xml:space="preserve">Type of action: Advocacy; Create/fund program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A">
            <w:pPr>
              <w:pStyle w:val="Heading2"/>
              <w:spacing w:after="0" w:before="0" w:lineRule="auto"/>
              <w:rPr>
                <w:sz w:val="16"/>
                <w:szCs w:val="16"/>
              </w:rPr>
            </w:pPr>
            <w:bookmarkStart w:colFirst="0" w:colLast="0" w:name="_8q0xktf5mwfh" w:id="12"/>
            <w:bookmarkEnd w:id="12"/>
            <w:r w:rsidDel="00000000" w:rsidR="00000000" w:rsidRPr="00000000">
              <w:rPr>
                <w:sz w:val="16"/>
                <w:szCs w:val="16"/>
                <w:rtl w:val="0"/>
              </w:rPr>
              <w:t xml:space="preserve">Advocate for stronger low-income customer policies (including bill discount program reforms), like changes to the qualification process, stronger disconnection protections, arrears forgiveness and management tools, and better funding for, and targeting of, energy conservation funds to support low-income customers.  </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B">
            <w:pPr>
              <w:pStyle w:val="Heading2"/>
              <w:spacing w:after="100" w:before="0" w:lineRule="auto"/>
              <w:rPr>
                <w:sz w:val="20"/>
                <w:szCs w:val="20"/>
              </w:rPr>
            </w:pPr>
            <w:bookmarkStart w:colFirst="0" w:colLast="0" w:name="_ski2wc42ybv3" w:id="13"/>
            <w:bookmarkEnd w:id="13"/>
            <w:r w:rsidDel="00000000" w:rsidR="00000000" w:rsidRPr="00000000">
              <w:rPr>
                <w:sz w:val="20"/>
                <w:szCs w:val="20"/>
                <w:rtl w:val="0"/>
              </w:rPr>
              <w:t xml:space="preserve">Support efforts by at-risk and energy burdened communities to influence decision-makers on energy rates and other energy-related policy issues.</w:t>
            </w:r>
          </w:p>
          <w:p w:rsidR="00000000" w:rsidDel="00000000" w:rsidP="00000000" w:rsidRDefault="00000000" w:rsidRPr="00000000" w14:paraId="0000002C">
            <w:pPr>
              <w:spacing w:line="240" w:lineRule="auto"/>
              <w:rPr>
                <w:i w:val="1"/>
                <w:iCs w:val="1"/>
                <w:sz w:val="20"/>
                <w:szCs w:val="20"/>
              </w:rPr>
            </w:pPr>
            <w:r w:rsidDel="00000000" w:rsidR="00000000" w:rsidRPr="00000000">
              <w:rPr>
                <w:i w:val="1"/>
                <w:iCs w:val="1"/>
                <w:sz w:val="16"/>
                <w:szCs w:val="16"/>
                <w:rtl w:val="0"/>
              </w:rPr>
              <w:t xml:space="preserve">Type of action: Advocacy; Create/fund program; Governance/Third space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D">
            <w:pPr>
              <w:pStyle w:val="Heading2"/>
              <w:spacing w:after="0" w:before="0" w:lineRule="auto"/>
              <w:rPr>
                <w:sz w:val="16"/>
                <w:szCs w:val="16"/>
              </w:rPr>
            </w:pPr>
            <w:bookmarkStart w:colFirst="0" w:colLast="0" w:name="_ni2hstxtpovz" w:id="14"/>
            <w:bookmarkEnd w:id="14"/>
            <w:r w:rsidDel="00000000" w:rsidR="00000000" w:rsidRPr="00000000">
              <w:rPr>
                <w:sz w:val="16"/>
                <w:szCs w:val="16"/>
                <w:rtl w:val="0"/>
              </w:rPr>
              <w:t xml:space="preserve">Work with community partners to expand existing efforts to build capacity of community-based organizations and grassroots advocates to understand advocacy channels and advocate for their priorities at the state level. These efforts include the Energy Justice Cohort that Multnomah County has co-facilitated for three years in collaboration with several energy and environmental justice partner organizations.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E">
            <w:pPr>
              <w:pStyle w:val="Heading2"/>
              <w:spacing w:after="100" w:before="0" w:lineRule="auto"/>
              <w:rPr>
                <w:sz w:val="20"/>
                <w:szCs w:val="20"/>
              </w:rPr>
            </w:pPr>
            <w:bookmarkStart w:colFirst="0" w:colLast="0" w:name="_rrpx3ndp13rl" w:id="15"/>
            <w:bookmarkEnd w:id="15"/>
            <w:r w:rsidDel="00000000" w:rsidR="00000000" w:rsidRPr="00000000">
              <w:rPr>
                <w:sz w:val="20"/>
                <w:szCs w:val="20"/>
                <w:rtl w:val="0"/>
              </w:rPr>
              <w:t xml:space="preserve">Expand the use of distributed energy resources, including energy storage, as a core energy security and resilience solution. Support the use of customer facing solutions that allow households to manage their energy demand, lowering costs and supporting the energy system.</w:t>
            </w:r>
          </w:p>
          <w:p w:rsidR="00000000" w:rsidDel="00000000" w:rsidP="00000000" w:rsidRDefault="00000000" w:rsidRPr="00000000" w14:paraId="0000002F">
            <w:pPr>
              <w:spacing w:line="240" w:lineRule="auto"/>
              <w:rPr>
                <w:i w:val="1"/>
                <w:iCs w:val="1"/>
                <w:sz w:val="20"/>
                <w:szCs w:val="20"/>
              </w:rPr>
            </w:pPr>
            <w:r w:rsidDel="00000000" w:rsidR="00000000" w:rsidRPr="00000000">
              <w:rPr>
                <w:i w:val="1"/>
                <w:iCs w:val="1"/>
                <w:sz w:val="16"/>
                <w:szCs w:val="16"/>
                <w:rtl w:val="0"/>
              </w:rPr>
              <w:t xml:space="preserve">Type of action: Advocacy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0">
            <w:pPr>
              <w:pStyle w:val="Heading2"/>
              <w:spacing w:after="0" w:before="0" w:lineRule="auto"/>
              <w:rPr>
                <w:sz w:val="16"/>
                <w:szCs w:val="16"/>
              </w:rPr>
            </w:pPr>
            <w:bookmarkStart w:colFirst="0" w:colLast="0" w:name="_ixzksg4on3ga" w:id="16"/>
            <w:bookmarkEnd w:id="16"/>
            <w:r w:rsidDel="00000000" w:rsidR="00000000" w:rsidRPr="00000000">
              <w:rPr>
                <w:sz w:val="16"/>
                <w:szCs w:val="16"/>
                <w:rtl w:val="0"/>
              </w:rPr>
              <w:t xml:space="preserve">Collaborate partners with a shared commitment to energy justice to engage in utility energy planning and advocate for prioritizing community-based and distributed energy resources to meet existing and future energy needs.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31">
            <w:pPr>
              <w:pStyle w:val="Heading2"/>
              <w:spacing w:after="100" w:before="0" w:lineRule="auto"/>
              <w:rPr>
                <w:sz w:val="20"/>
                <w:szCs w:val="20"/>
              </w:rPr>
            </w:pPr>
            <w:bookmarkStart w:colFirst="0" w:colLast="0" w:name="_ihv0j1z0r0e0" w:id="17"/>
            <w:bookmarkEnd w:id="17"/>
            <w:r w:rsidDel="00000000" w:rsidR="00000000" w:rsidRPr="00000000">
              <w:rPr>
                <w:sz w:val="20"/>
                <w:szCs w:val="20"/>
                <w:rtl w:val="0"/>
              </w:rPr>
              <w:t xml:space="preserve">Expand energy efficiency and  weatherization efforts outside of areas served by PCEF.</w:t>
            </w:r>
          </w:p>
          <w:p w:rsidR="00000000" w:rsidDel="00000000" w:rsidP="00000000" w:rsidRDefault="00000000" w:rsidRPr="00000000" w14:paraId="00000032">
            <w:pPr>
              <w:spacing w:line="240" w:lineRule="auto"/>
              <w:rPr>
                <w:i w:val="1"/>
                <w:iCs w:val="1"/>
                <w:sz w:val="20"/>
                <w:szCs w:val="20"/>
              </w:rPr>
            </w:pPr>
            <w:r w:rsidDel="00000000" w:rsidR="00000000" w:rsidRPr="00000000">
              <w:rPr>
                <w:i w:val="1"/>
                <w:iCs w:val="1"/>
                <w:sz w:val="16"/>
                <w:szCs w:val="16"/>
                <w:rtl w:val="0"/>
              </w:rPr>
              <w:t xml:space="preserve">Type of action: Create/fund program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3">
            <w:pPr>
              <w:pStyle w:val="Heading2"/>
              <w:spacing w:after="0" w:before="0" w:lineRule="auto"/>
              <w:rPr>
                <w:sz w:val="16"/>
                <w:szCs w:val="16"/>
              </w:rPr>
            </w:pPr>
            <w:bookmarkStart w:colFirst="0" w:colLast="0" w:name="_5zc81skhc597" w:id="18"/>
            <w:bookmarkEnd w:id="18"/>
            <w:r w:rsidDel="00000000" w:rsidR="00000000" w:rsidRPr="00000000">
              <w:rPr>
                <w:sz w:val="16"/>
                <w:szCs w:val="16"/>
                <w:rtl w:val="0"/>
              </w:rPr>
              <w:t xml:space="preserve">Pursue new sources of funding, including grants, that support expanding the number of people served by the County’s Weatherization program. Align with, and leverage, efforts/funding that support healthy housing, aging in place, and other housing stabilization approaches.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34">
            <w:pPr>
              <w:pStyle w:val="Heading2"/>
              <w:spacing w:after="100" w:before="0" w:lineRule="auto"/>
              <w:rPr>
                <w:sz w:val="20"/>
                <w:szCs w:val="20"/>
              </w:rPr>
            </w:pPr>
            <w:bookmarkStart w:colFirst="0" w:colLast="0" w:name="_tcu8feszut6x" w:id="19"/>
            <w:bookmarkEnd w:id="19"/>
            <w:r w:rsidDel="00000000" w:rsidR="00000000" w:rsidRPr="00000000">
              <w:rPr>
                <w:sz w:val="20"/>
                <w:szCs w:val="20"/>
                <w:rtl w:val="0"/>
              </w:rPr>
              <w:t xml:space="preserve">Prohibit the use of rate payer money for lobbying, and help ensure that customer-funded energy related advertising/information is not “greenwashing”.</w:t>
            </w:r>
          </w:p>
          <w:p w:rsidR="00000000" w:rsidDel="00000000" w:rsidP="00000000" w:rsidRDefault="00000000" w:rsidRPr="00000000" w14:paraId="00000035">
            <w:pPr>
              <w:spacing w:line="240" w:lineRule="auto"/>
              <w:rPr>
                <w:i w:val="1"/>
                <w:iCs w:val="1"/>
                <w:sz w:val="20"/>
                <w:szCs w:val="20"/>
              </w:rPr>
            </w:pPr>
            <w:r w:rsidDel="00000000" w:rsidR="00000000" w:rsidRPr="00000000">
              <w:rPr>
                <w:i w:val="1"/>
                <w:iCs w:val="1"/>
                <w:sz w:val="16"/>
                <w:szCs w:val="16"/>
                <w:rtl w:val="0"/>
              </w:rPr>
              <w:t xml:space="preserve">Type of action: Advocacy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6">
            <w:pPr>
              <w:pStyle w:val="Heading2"/>
              <w:spacing w:after="0" w:before="0" w:lineRule="auto"/>
              <w:rPr>
                <w:sz w:val="16"/>
                <w:szCs w:val="16"/>
              </w:rPr>
            </w:pPr>
            <w:bookmarkStart w:colFirst="0" w:colLast="0" w:name="_2wzyidnrd2n" w:id="20"/>
            <w:bookmarkEnd w:id="20"/>
            <w:r w:rsidDel="00000000" w:rsidR="00000000" w:rsidRPr="00000000">
              <w:rPr>
                <w:sz w:val="16"/>
                <w:szCs w:val="16"/>
                <w:rtl w:val="0"/>
              </w:rPr>
              <w:t xml:space="preserve">Advocate at the state Legislature, Public Utility Commission and other venues to prohibit utilities from using rate payer funds to lobby the legislature, regulators and other governmental agencies. Work with these and other entities to help ensure that customer-funded energy-related information from utilities provides fair consideration of an issue.</w:t>
            </w:r>
          </w:p>
        </w:tc>
      </w:tr>
    </w:tbl>
    <w:p w:rsidR="00000000" w:rsidDel="00000000" w:rsidP="00000000" w:rsidRDefault="00000000" w:rsidRPr="00000000" w14:paraId="00000037">
      <w:pPr>
        <w:rPr>
          <w:sz w:val="2"/>
          <w:szCs w:val="2"/>
        </w:rPr>
      </w:pPr>
      <w:r w:rsidDel="00000000" w:rsidR="00000000" w:rsidRPr="00000000">
        <w:rPr>
          <w:rtl w:val="0"/>
        </w:rPr>
      </w:r>
    </w:p>
    <w:tbl>
      <w:tblPr>
        <w:tblStyle w:val="Table6"/>
        <w:tblW w:w="10800.0" w:type="dxa"/>
        <w:jc w:val="left"/>
        <w:tblInd w:w="1.4210854715202004E-1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8">
            <w:pPr>
              <w:pStyle w:val="Heading2"/>
              <w:spacing w:after="0" w:before="0" w:lineRule="auto"/>
              <w:rPr>
                <w:b w:val="1"/>
                <w:bCs w:val="1"/>
                <w:sz w:val="24"/>
                <w:szCs w:val="24"/>
              </w:rPr>
            </w:pPr>
            <w:bookmarkStart w:colFirst="0" w:colLast="0" w:name="_9t8pf56usp56" w:id="21"/>
            <w:bookmarkEnd w:id="21"/>
            <w:r w:rsidDel="00000000" w:rsidR="00000000" w:rsidRPr="00000000">
              <w:rPr>
                <w:b w:val="1"/>
                <w:bCs w:val="1"/>
                <w:sz w:val="24"/>
                <w:szCs w:val="24"/>
                <w:rtl w:val="0"/>
              </w:rPr>
              <w:t xml:space="preserve">Notes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4"/>
                <w:szCs w:val="4"/>
              </w:rPr>
            </w:pPr>
            <w:r w:rsidDel="00000000" w:rsidR="00000000" w:rsidRPr="00000000">
              <w:rPr>
                <w:rtl w:val="0"/>
              </w:rPr>
            </w:r>
          </w:p>
          <w:p w:rsidR="00000000" w:rsidDel="00000000" w:rsidP="00000000" w:rsidRDefault="00000000" w:rsidRPr="00000000" w14:paraId="0000003C">
            <w:pPr>
              <w:rPr>
                <w:sz w:val="4"/>
                <w:szCs w:val="4"/>
              </w:rPr>
            </w:pPr>
            <w:r w:rsidDel="00000000" w:rsidR="00000000" w:rsidRPr="00000000">
              <w:rPr>
                <w:rtl w:val="0"/>
              </w:rPr>
            </w:r>
          </w:p>
          <w:p w:rsidR="00000000" w:rsidDel="00000000" w:rsidP="00000000" w:rsidRDefault="00000000" w:rsidRPr="00000000" w14:paraId="0000003D">
            <w:pPr>
              <w:rPr>
                <w:sz w:val="4"/>
                <w:szCs w:val="4"/>
              </w:rPr>
            </w:pPr>
            <w:r w:rsidDel="00000000" w:rsidR="00000000" w:rsidRPr="00000000">
              <w:rPr>
                <w:rtl w:val="0"/>
              </w:rPr>
            </w:r>
          </w:p>
          <w:p w:rsidR="00000000" w:rsidDel="00000000" w:rsidP="00000000" w:rsidRDefault="00000000" w:rsidRPr="00000000" w14:paraId="0000003E">
            <w:pPr>
              <w:rPr>
                <w:sz w:val="4"/>
                <w:szCs w:val="4"/>
              </w:rPr>
            </w:pPr>
            <w:r w:rsidDel="00000000" w:rsidR="00000000" w:rsidRPr="00000000">
              <w:rPr>
                <w:rtl w:val="0"/>
              </w:rPr>
            </w:r>
          </w:p>
          <w:p w:rsidR="00000000" w:rsidDel="00000000" w:rsidP="00000000" w:rsidRDefault="00000000" w:rsidRPr="00000000" w14:paraId="0000003F">
            <w:pPr>
              <w:rPr>
                <w:sz w:val="4"/>
                <w:szCs w:val="4"/>
              </w:rPr>
            </w:pPr>
            <w:r w:rsidDel="00000000" w:rsidR="00000000" w:rsidRPr="00000000">
              <w:rPr>
                <w:rtl w:val="0"/>
              </w:rPr>
            </w:r>
          </w:p>
          <w:p w:rsidR="00000000" w:rsidDel="00000000" w:rsidP="00000000" w:rsidRDefault="00000000" w:rsidRPr="00000000" w14:paraId="00000040">
            <w:pPr>
              <w:rPr>
                <w:sz w:val="4"/>
                <w:szCs w:val="4"/>
              </w:rPr>
            </w:pPr>
            <w:r w:rsidDel="00000000" w:rsidR="00000000" w:rsidRPr="00000000">
              <w:rPr>
                <w:rtl w:val="0"/>
              </w:rPr>
            </w:r>
          </w:p>
          <w:p w:rsidR="00000000" w:rsidDel="00000000" w:rsidP="00000000" w:rsidRDefault="00000000" w:rsidRPr="00000000" w14:paraId="00000041">
            <w:pPr>
              <w:rPr>
                <w:sz w:val="4"/>
                <w:szCs w:val="4"/>
              </w:rPr>
            </w:pPr>
            <w:r w:rsidDel="00000000" w:rsidR="00000000" w:rsidRPr="00000000">
              <w:rPr>
                <w:rtl w:val="0"/>
              </w:rPr>
            </w:r>
          </w:p>
          <w:p w:rsidR="00000000" w:rsidDel="00000000" w:rsidP="00000000" w:rsidRDefault="00000000" w:rsidRPr="00000000" w14:paraId="00000042">
            <w:pPr>
              <w:rPr>
                <w:sz w:val="4"/>
                <w:szCs w:val="4"/>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rtl w:val="0"/>
              </w:rPr>
            </w:r>
          </w:p>
        </w:tc>
      </w:tr>
    </w:tbl>
    <w:p w:rsidR="00000000" w:rsidDel="00000000" w:rsidP="00000000" w:rsidRDefault="00000000" w:rsidRPr="00000000" w14:paraId="00000044">
      <w:pPr>
        <w:rPr>
          <w:sz w:val="4"/>
          <w:szCs w:val="4"/>
        </w:rPr>
      </w:pPr>
      <w:r w:rsidDel="00000000" w:rsidR="00000000" w:rsidRPr="00000000">
        <w:rPr>
          <w:rtl w:val="0"/>
        </w:rPr>
      </w:r>
    </w:p>
    <w:sectPr>
      <w:headerReference r:id="rId6" w:type="default"/>
      <w:footerReference r:id="rId7" w:type="default"/>
      <w:pgSz w:h="15840" w:w="12240" w:orient="portrait"/>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ind w:right="0"/>
      <w:jc w:val="right"/>
      <w:rPr>
        <w:sz w:val="12"/>
        <w:szCs w:val="12"/>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spacing w:after="0" w:lineRule="auto"/>
      <w:ind w:left="0" w:firstLine="0"/>
      <w:rPr>
        <w:b w:val="1"/>
        <w:bCs w:val="1"/>
        <w:i w:val="1"/>
        <w:iCs w:val="1"/>
        <w:color w:val="999999"/>
      </w:rPr>
    </w:pPr>
    <w:r w:rsidDel="00000000" w:rsidR="00000000" w:rsidRPr="00000000">
      <w:rPr>
        <w:b w:val="1"/>
        <w:bCs w:val="1"/>
        <w:i w:val="1"/>
        <w:iCs w:val="1"/>
        <w:color w:val="999999"/>
        <w:rtl w:val="0"/>
      </w:rPr>
      <w:t xml:space="preserve">Climate Justice Plan Community Forum | Clean Energy</w:t>
    </w:r>
    <w:r w:rsidDel="00000000" w:rsidR="00000000" w:rsidRPr="00000000">
      <w:drawing>
        <wp:anchor allowOverlap="1" behindDoc="1" distB="114300" distT="114300" distL="114300" distR="114300" hidden="0" layoutInCell="1" locked="0" relativeHeight="0" simplePos="0">
          <wp:simplePos x="0" y="0"/>
          <wp:positionH relativeFrom="column">
            <wp:posOffset>6014085</wp:posOffset>
          </wp:positionH>
          <wp:positionV relativeFrom="paragraph">
            <wp:posOffset>-123824</wp:posOffset>
          </wp:positionV>
          <wp:extent cx="848661" cy="41889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48661" cy="418890"/>
                  </a:xfrm>
                  <a:prstGeom prst="rect"/>
                  <a:ln/>
                </pic:spPr>
              </pic:pic>
            </a:graphicData>
          </a:graphic>
        </wp:anchor>
      </w:drawing>
    </w:r>
  </w:p>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