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b w:val="1"/>
          <w:bCs w:val="1"/>
          <w:sz w:val="2"/>
          <w:szCs w:val="2"/>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5"/>
        <w:gridCol w:w="3345"/>
        <w:gridCol w:w="1725"/>
        <w:gridCol w:w="4035"/>
        <w:tblGridChange w:id="0">
          <w:tblGrid>
            <w:gridCol w:w="1695"/>
            <w:gridCol w:w="3345"/>
            <w:gridCol w:w="1725"/>
            <w:gridCol w:w="403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Organization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p w:rsidR="00000000" w:rsidDel="00000000" w:rsidP="00000000" w:rsidRDefault="00000000" w:rsidRPr="00000000" w14:paraId="00000006">
      <w:pPr>
        <w:spacing w:after="0" w:lineRule="auto"/>
        <w:rPr>
          <w:b w:val="1"/>
          <w:bCs w:val="1"/>
          <w:sz w:val="2"/>
          <w:szCs w:val="2"/>
        </w:rPr>
      </w:pPr>
      <w:r w:rsidDel="00000000" w:rsidR="00000000" w:rsidRPr="00000000">
        <w:rPr>
          <w:rtl w:val="0"/>
        </w:rPr>
      </w:r>
    </w:p>
    <w:tbl>
      <w:tblPr>
        <w:tblStyle w:val="Table2"/>
        <w:tblW w:w="1080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3"/>
        <w:tblGridChange w:id="0">
          <w:tblGrid>
            <w:gridCol w:w="10803"/>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7">
            <w:pPr>
              <w:pStyle w:val="Heading2"/>
              <w:spacing w:after="0" w:before="0" w:lineRule="auto"/>
              <w:ind w:left="0" w:right="-90" w:firstLine="0"/>
              <w:rPr>
                <w:rFonts w:ascii="Helvetica Neue" w:cs="Helvetica Neue" w:eastAsia="Helvetica Neue" w:hAnsi="Helvetica Neue"/>
                <w:b w:val="1"/>
                <w:bCs w:val="1"/>
                <w:sz w:val="24"/>
                <w:szCs w:val="24"/>
              </w:rPr>
            </w:pPr>
            <w:bookmarkStart w:colFirst="0" w:colLast="0" w:name="_d7moyd68ox6x" w:id="0"/>
            <w:bookmarkEnd w:id="0"/>
            <w:r w:rsidDel="00000000" w:rsidR="00000000" w:rsidRPr="00000000">
              <w:rPr>
                <w:rFonts w:ascii="Helvetica Neue" w:cs="Helvetica Neue" w:eastAsia="Helvetica Neue" w:hAnsi="Helvetica Neue"/>
                <w:b w:val="1"/>
                <w:bCs w:val="1"/>
                <w:sz w:val="24"/>
                <w:szCs w:val="24"/>
                <w:rtl w:val="0"/>
              </w:rPr>
              <w:t xml:space="preserve">Goal</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8">
            <w:pPr>
              <w:pStyle w:val="Heading2"/>
              <w:spacing w:after="0" w:before="0" w:lineRule="auto"/>
              <w:rPr>
                <w:rFonts w:ascii="Helvetica Neue" w:cs="Helvetica Neue" w:eastAsia="Helvetica Neue" w:hAnsi="Helvetica Neue"/>
                <w:i w:val="1"/>
                <w:iCs w:val="1"/>
                <w:sz w:val="20"/>
                <w:szCs w:val="20"/>
              </w:rPr>
            </w:pPr>
            <w:bookmarkStart w:colFirst="0" w:colLast="0" w:name="_d7moyd68ox6x" w:id="0"/>
            <w:bookmarkEnd w:id="0"/>
            <w:r w:rsidDel="00000000" w:rsidR="00000000" w:rsidRPr="00000000">
              <w:rPr>
                <w:i w:val="1"/>
                <w:iCs w:val="1"/>
                <w:sz w:val="20"/>
                <w:szCs w:val="20"/>
                <w:rtl w:val="0"/>
              </w:rPr>
              <w:t xml:space="preserve">Every community member is safe from the risks posed by fossil fuels and energy infrastructure.    </w:t>
            </w:r>
            <w:r w:rsidDel="00000000" w:rsidR="00000000" w:rsidRPr="00000000">
              <w:rPr>
                <w:rtl w:val="0"/>
              </w:rPr>
            </w:r>
          </w:p>
        </w:tc>
      </w:tr>
    </w:tbl>
    <w:p w:rsidR="00000000" w:rsidDel="00000000" w:rsidP="00000000" w:rsidRDefault="00000000" w:rsidRPr="00000000" w14:paraId="00000009">
      <w:pPr>
        <w:rPr>
          <w:sz w:val="2"/>
          <w:szCs w:val="2"/>
        </w:rPr>
      </w:pPr>
      <w:r w:rsidDel="00000000" w:rsidR="00000000" w:rsidRPr="00000000">
        <w:rPr>
          <w:rtl w:val="0"/>
        </w:rPr>
      </w:r>
    </w:p>
    <w:tbl>
      <w:tblPr>
        <w:tblStyle w:val="Table3"/>
        <w:tblW w:w="10803.00000000000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3.000000000002"/>
        <w:tblGridChange w:id="0">
          <w:tblGrid>
            <w:gridCol w:w="10803.000000000002"/>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0A">
            <w:pPr>
              <w:pStyle w:val="Heading2"/>
              <w:spacing w:after="0" w:before="0" w:lineRule="auto"/>
              <w:rPr>
                <w:b w:val="1"/>
                <w:bCs w:val="1"/>
                <w:sz w:val="24"/>
                <w:szCs w:val="24"/>
              </w:rPr>
            </w:pPr>
            <w:bookmarkStart w:colFirst="0" w:colLast="0" w:name="_d7moyd68ox6x" w:id="0"/>
            <w:bookmarkEnd w:id="0"/>
            <w:r w:rsidDel="00000000" w:rsidR="00000000" w:rsidRPr="00000000">
              <w:rPr>
                <w:b w:val="1"/>
                <w:bCs w:val="1"/>
                <w:sz w:val="24"/>
                <w:szCs w:val="24"/>
                <w:rtl w:val="0"/>
              </w:rPr>
              <w:t xml:space="preserve">Description</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0B">
            <w:pPr>
              <w:spacing w:after="60" w:line="276" w:lineRule="auto"/>
              <w:rPr>
                <w:sz w:val="20"/>
                <w:szCs w:val="20"/>
              </w:rPr>
            </w:pPr>
            <w:r w:rsidDel="00000000" w:rsidR="00000000" w:rsidRPr="00000000">
              <w:rPr>
                <w:sz w:val="20"/>
                <w:szCs w:val="20"/>
                <w:rtl w:val="0"/>
              </w:rPr>
              <w:t xml:space="preserve">Fossil fuels endanger the planet and disproportionately harm frontline communities by fueling climate change and accelerating the environmental degradation of ecosystems, among other harms. The infrastructure that supports the use of fossil fuels, from large tank farms that supply a region to a single gas pump fueling a car, is woven into the fabric of communities. These systems can pose significant risks to our communities every day, and particularly in the face of natural disasters. As the community transitions to cleaner sources of fuel, we will need to find solutions to the risks this legacy infrastructure imposes on our communities. At the same time, as we consider new technologies we must also be more thoughtful about any potential risks they may pose to our communities in the future.</w:t>
            </w:r>
          </w:p>
          <w:p w:rsidR="00000000" w:rsidDel="00000000" w:rsidP="00000000" w:rsidRDefault="00000000" w:rsidRPr="00000000" w14:paraId="0000000C">
            <w:pPr>
              <w:spacing w:after="60" w:line="276" w:lineRule="auto"/>
              <w:rPr>
                <w:sz w:val="20"/>
                <w:szCs w:val="20"/>
              </w:rPr>
            </w:pPr>
            <w:r w:rsidDel="00000000" w:rsidR="00000000" w:rsidRPr="00000000">
              <w:rPr>
                <w:sz w:val="20"/>
                <w:szCs w:val="20"/>
                <w:rtl w:val="0"/>
              </w:rPr>
              <w:t xml:space="preserve">In addition to the risks that fossil fuel use poses to the health and well-being of individuals and the planet, the infrastructure supporting the fossil fuel economy poses a significant threat as well. Multnomah County is home to the Critical Energy Infrastructure (CEI) Hub along the Willamette River, north of downtown Portland. The CEI Hub stores 90% of the liquid fuels used in Oregon and is situated on soils that will liquefy during a major earthquake. The CEI Hub poses a grave threat to the community. </w:t>
            </w:r>
          </w:p>
          <w:p w:rsidR="00000000" w:rsidDel="00000000" w:rsidP="00000000" w:rsidRDefault="00000000" w:rsidRPr="00000000" w14:paraId="0000000D">
            <w:pPr>
              <w:spacing w:after="60" w:line="276" w:lineRule="auto"/>
              <w:rPr>
                <w:sz w:val="20"/>
                <w:szCs w:val="20"/>
              </w:rPr>
            </w:pPr>
            <w:r w:rsidDel="00000000" w:rsidR="00000000" w:rsidRPr="00000000">
              <w:rPr>
                <w:sz w:val="20"/>
                <w:szCs w:val="20"/>
                <w:rtl w:val="0"/>
              </w:rPr>
              <w:t xml:space="preserve">There are many examples of other fossil fuel infrastructure, both large and small, located throughout Multnomah County. Each of these poses a potential risk that must be better understood today, and each must be addressed as part of the transition to cleaner fuels. This includes the risk of trains passing through our communities carrying highly flammable fuels, and the methane (natural gas) meter and line at a house. Beyond the local level, the infrastructure used to extract, refine and distribute fossil fuels across the United States and around the world has, and will have, a profound impact on the communities around these facilities. </w:t>
            </w:r>
          </w:p>
          <w:p w:rsidR="00000000" w:rsidDel="00000000" w:rsidP="00000000" w:rsidRDefault="00000000" w:rsidRPr="00000000" w14:paraId="0000000E">
            <w:pPr>
              <w:spacing w:after="0" w:line="276" w:lineRule="auto"/>
              <w:rPr>
                <w:sz w:val="20"/>
                <w:szCs w:val="20"/>
              </w:rPr>
            </w:pPr>
            <w:r w:rsidDel="00000000" w:rsidR="00000000" w:rsidRPr="00000000">
              <w:rPr>
                <w:sz w:val="20"/>
                <w:szCs w:val="20"/>
                <w:rtl w:val="0"/>
              </w:rPr>
              <w:t xml:space="preserve">While the transition to clean energy will allow communities to remove or repurpose this legacy of fossil fuel infrastructure, communities must also be mindful of the potential harms to people, ecosystems, and cultural resources from new clean energy investments/developments. For example, renewable generation projects that eliminate greenhouse gas emissions but are built in sensitive ecosystems can cause environmental and ecological harm. Communities, and in particular frontline communities that have borne the brunt of legacy fossil fuel infrastructure, must be prioritized through justice-centered planning processes. </w:t>
            </w:r>
            <w:r w:rsidDel="00000000" w:rsidR="00000000" w:rsidRPr="00000000">
              <w:rPr>
                <w:rtl w:val="0"/>
              </w:rPr>
            </w:r>
          </w:p>
        </w:tc>
      </w:tr>
    </w:tbl>
    <w:p w:rsidR="00000000" w:rsidDel="00000000" w:rsidP="00000000" w:rsidRDefault="00000000" w:rsidRPr="00000000" w14:paraId="0000000F">
      <w:pPr>
        <w:rPr>
          <w:sz w:val="2"/>
          <w:szCs w:val="2"/>
        </w:rPr>
      </w:pPr>
      <w:r w:rsidDel="00000000" w:rsidR="00000000" w:rsidRPr="00000000">
        <w:rPr>
          <w:rtl w:val="0"/>
        </w:rPr>
      </w:r>
    </w:p>
    <w:tbl>
      <w:tblPr>
        <w:tblStyle w:val="Table4"/>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0"/>
        <w:gridCol w:w="4800"/>
        <w:tblGridChange w:id="0">
          <w:tblGrid>
            <w:gridCol w:w="6000"/>
            <w:gridCol w:w="4800"/>
          </w:tblGrid>
        </w:tblGridChange>
      </w:tblGrid>
      <w:tr>
        <w:trPr>
          <w:cantSplit w:val="0"/>
          <w:tblHeader w:val="0"/>
        </w:trPr>
        <w:tc>
          <w:tcPr>
            <w:shd w:fill="4b773c" w:val="clear"/>
            <w:tcMar>
              <w:top w:w="100.0" w:type="dxa"/>
              <w:left w:w="100.0" w:type="dxa"/>
              <w:bottom w:w="100.0" w:type="dxa"/>
              <w:right w:w="100.0" w:type="dxa"/>
            </w:tcMar>
            <w:vAlign w:val="top"/>
          </w:tcPr>
          <w:p w:rsidR="00000000" w:rsidDel="00000000" w:rsidP="00000000" w:rsidRDefault="00000000" w:rsidRPr="00000000" w14:paraId="00000010">
            <w:pPr>
              <w:pStyle w:val="Heading2"/>
              <w:spacing w:after="0" w:before="0" w:lineRule="auto"/>
              <w:rPr>
                <w:b w:val="1"/>
                <w:bCs w:val="1"/>
                <w:color w:val="ffffff"/>
                <w:sz w:val="24"/>
                <w:szCs w:val="24"/>
              </w:rPr>
            </w:pPr>
            <w:bookmarkStart w:colFirst="0" w:colLast="0" w:name="_pqsx8vpnyd5e" w:id="1"/>
            <w:bookmarkEnd w:id="1"/>
            <w:r w:rsidDel="00000000" w:rsidR="00000000" w:rsidRPr="00000000">
              <w:rPr>
                <w:b w:val="1"/>
                <w:bCs w:val="1"/>
                <w:color w:val="ffffff"/>
                <w:sz w:val="24"/>
                <w:szCs w:val="24"/>
                <w:rtl w:val="0"/>
              </w:rPr>
              <w:t xml:space="preserve">Metrics</w:t>
            </w:r>
          </w:p>
        </w:tc>
        <w:tc>
          <w:tcPr>
            <w:shd w:fill="4b773c" w:val="clear"/>
            <w:tcMar>
              <w:top w:w="100.0" w:type="dxa"/>
              <w:left w:w="100.0" w:type="dxa"/>
              <w:bottom w:w="100.0" w:type="dxa"/>
              <w:right w:w="100.0" w:type="dxa"/>
            </w:tcMar>
            <w:vAlign w:val="top"/>
          </w:tcPr>
          <w:p w:rsidR="00000000" w:rsidDel="00000000" w:rsidP="00000000" w:rsidRDefault="00000000" w:rsidRPr="00000000" w14:paraId="00000011">
            <w:pPr>
              <w:pStyle w:val="Heading2"/>
              <w:spacing w:after="0" w:before="0" w:lineRule="auto"/>
              <w:rPr>
                <w:b w:val="1"/>
                <w:bCs w:val="1"/>
                <w:color w:val="ffffff"/>
                <w:sz w:val="24"/>
                <w:szCs w:val="24"/>
              </w:rPr>
            </w:pPr>
            <w:bookmarkStart w:colFirst="0" w:colLast="0" w:name="_pqsx8vpnyd5e" w:id="1"/>
            <w:bookmarkEnd w:id="1"/>
            <w:r w:rsidDel="00000000" w:rsidR="00000000" w:rsidRPr="00000000">
              <w:rPr>
                <w:b w:val="1"/>
                <w:bCs w:val="1"/>
                <w:color w:val="ffffff"/>
                <w:sz w:val="24"/>
                <w:szCs w:val="24"/>
                <w:rtl w:val="0"/>
              </w:rPr>
              <w:t xml:space="preserve">Notes</w:t>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2">
            <w:pPr>
              <w:pStyle w:val="Heading2"/>
              <w:spacing w:after="0" w:before="0" w:lineRule="auto"/>
              <w:rPr>
                <w:i w:val="1"/>
                <w:iCs w:val="1"/>
                <w:sz w:val="20"/>
                <w:szCs w:val="20"/>
              </w:rPr>
            </w:pPr>
            <w:bookmarkStart w:colFirst="0" w:colLast="0" w:name="_mh9qvp3zk1hr" w:id="2"/>
            <w:bookmarkEnd w:id="2"/>
            <w:r w:rsidDel="00000000" w:rsidR="00000000" w:rsidRPr="00000000">
              <w:rPr>
                <w:sz w:val="20"/>
                <w:szCs w:val="20"/>
                <w:rtl w:val="0"/>
              </w:rPr>
              <w:t xml:space="preserve">Percent of households living in proximity to fossil fuel infrastructure by race, income, and other demographic measures</w:t>
            </w:r>
            <w:r w:rsidDel="00000000" w:rsidR="00000000" w:rsidRPr="00000000">
              <w:rPr>
                <w:rtl w:val="0"/>
              </w:rPr>
            </w:r>
          </w:p>
        </w:tc>
        <w:tc>
          <w:tcPr>
            <w:vMerge w:val="restart"/>
            <w:tcMar>
              <w:top w:w="100.0" w:type="dxa"/>
              <w:left w:w="100.0" w:type="dxa"/>
              <w:bottom w:w="100.0" w:type="dxa"/>
              <w:right w:w="100.0" w:type="dxa"/>
            </w:tcMar>
            <w:vAlign w:val="top"/>
          </w:tcPr>
          <w:p w:rsidR="00000000" w:rsidDel="00000000" w:rsidP="00000000" w:rsidRDefault="00000000" w:rsidRPr="00000000" w14:paraId="00000013">
            <w:pPr>
              <w:pStyle w:val="Heading2"/>
              <w:spacing w:after="0" w:before="0" w:lineRule="auto"/>
              <w:rPr>
                <w:sz w:val="20"/>
                <w:szCs w:val="20"/>
              </w:rPr>
            </w:pPr>
            <w:bookmarkStart w:colFirst="0" w:colLast="0" w:name="_mh9qvp3zk1hr" w:id="2"/>
            <w:bookmarkEnd w:id="2"/>
            <w:r w:rsidDel="00000000" w:rsidR="00000000" w:rsidRPr="00000000">
              <w:rPr>
                <w:rtl w:val="0"/>
              </w:rPr>
            </w:r>
          </w:p>
        </w:tc>
      </w:tr>
      <w:tr>
        <w:trPr>
          <w:cantSplit w:val="0"/>
          <w:trHeight w:val="400" w:hRule="atLeast"/>
          <w:tblHeader w:val="0"/>
        </w:trPr>
        <w:tc>
          <w:tcPr>
            <w:shd w:fill="e1ebde" w:val="clear"/>
            <w:tcMar>
              <w:top w:w="100.0" w:type="dxa"/>
              <w:left w:w="100.0" w:type="dxa"/>
              <w:bottom w:w="100.0" w:type="dxa"/>
              <w:right w:w="100.0" w:type="dxa"/>
            </w:tcMar>
            <w:vAlign w:val="top"/>
          </w:tcPr>
          <w:p w:rsidR="00000000" w:rsidDel="00000000" w:rsidP="00000000" w:rsidRDefault="00000000" w:rsidRPr="00000000" w14:paraId="00000014">
            <w:pPr>
              <w:pStyle w:val="Heading2"/>
              <w:spacing w:after="0" w:before="0" w:lineRule="auto"/>
              <w:rPr>
                <w:sz w:val="20"/>
                <w:szCs w:val="20"/>
              </w:rPr>
            </w:pPr>
            <w:bookmarkStart w:colFirst="0" w:colLast="0" w:name="_6e6nqfb9bijr" w:id="3"/>
            <w:bookmarkEnd w:id="3"/>
            <w:r w:rsidDel="00000000" w:rsidR="00000000" w:rsidRPr="00000000">
              <w:rPr>
                <w:sz w:val="20"/>
                <w:szCs w:val="20"/>
                <w:rtl w:val="0"/>
              </w:rPr>
              <w:t xml:space="preserve">Percent of gas meters with seismic shutoff</w:t>
            </w:r>
          </w:p>
        </w:tc>
        <w:tc>
          <w:tcPr>
            <w:vMerge w:val="continue"/>
            <w:tcMar>
              <w:top w:w="100.0" w:type="dxa"/>
              <w:left w:w="100.0" w:type="dxa"/>
              <w:bottom w:w="100.0" w:type="dxa"/>
              <w:right w:w="100.0" w:type="dxa"/>
            </w:tcMar>
            <w:vAlign w:val="top"/>
          </w:tcPr>
          <w:p w:rsidR="00000000" w:rsidDel="00000000" w:rsidP="00000000" w:rsidRDefault="00000000" w:rsidRPr="00000000" w14:paraId="00000015">
            <w:pPr>
              <w:spacing w:after="0" w:before="0" w:line="240" w:lineRule="auto"/>
              <w:ind w:left="0" w:firstLine="0"/>
              <w:rPr>
                <w:sz w:val="20"/>
                <w:szCs w:val="20"/>
              </w:rPr>
            </w:pPr>
            <w:bookmarkStart w:colFirst="0" w:colLast="0" w:name="_6e6nqfb9bijr" w:id="3"/>
            <w:bookmarkEnd w:id="3"/>
            <w:r w:rsidDel="00000000" w:rsidR="00000000" w:rsidRPr="00000000">
              <w:rPr>
                <w:rtl w:val="0"/>
              </w:rPr>
            </w:r>
          </w:p>
        </w:tc>
      </w:tr>
    </w:tbl>
    <w:p w:rsidR="00000000" w:rsidDel="00000000" w:rsidP="00000000" w:rsidRDefault="00000000" w:rsidRPr="00000000" w14:paraId="00000016">
      <w:pPr>
        <w:rPr>
          <w:sz w:val="2"/>
          <w:szCs w:val="2"/>
        </w:rPr>
      </w:pPr>
      <w:r w:rsidDel="00000000" w:rsidR="00000000" w:rsidRPr="00000000">
        <w:rPr>
          <w:rtl w:val="0"/>
        </w:rPr>
      </w:r>
    </w:p>
    <w:tbl>
      <w:tblPr>
        <w:tblStyle w:val="Table5"/>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85"/>
        <w:gridCol w:w="6615"/>
        <w:tblGridChange w:id="0">
          <w:tblGrid>
            <w:gridCol w:w="4185"/>
            <w:gridCol w:w="6615"/>
          </w:tblGrid>
        </w:tblGridChange>
      </w:tblGrid>
      <w:tr>
        <w:trPr>
          <w:cantSplit w:val="0"/>
          <w:tblHeader w:val="0"/>
        </w:trPr>
        <w:tc>
          <w:tcPr>
            <w:shd w:fill="2e6196" w:val="clear"/>
            <w:tcMar>
              <w:top w:w="100.0" w:type="dxa"/>
              <w:left w:w="100.0" w:type="dxa"/>
              <w:bottom w:w="100.0" w:type="dxa"/>
              <w:right w:w="100.0" w:type="dxa"/>
            </w:tcMar>
            <w:vAlign w:val="top"/>
          </w:tcPr>
          <w:p w:rsidR="00000000" w:rsidDel="00000000" w:rsidP="00000000" w:rsidRDefault="00000000" w:rsidRPr="00000000" w14:paraId="00000017">
            <w:pPr>
              <w:pStyle w:val="Heading2"/>
              <w:spacing w:after="0" w:before="0" w:lineRule="auto"/>
              <w:rPr>
                <w:b w:val="1"/>
                <w:bCs w:val="1"/>
                <w:color w:val="ffffff"/>
                <w:sz w:val="24"/>
                <w:szCs w:val="24"/>
              </w:rPr>
            </w:pPr>
            <w:bookmarkStart w:colFirst="0" w:colLast="0" w:name="_pqsx8vpnyd5e" w:id="1"/>
            <w:bookmarkEnd w:id="1"/>
            <w:r w:rsidDel="00000000" w:rsidR="00000000" w:rsidRPr="00000000">
              <w:rPr>
                <w:b w:val="1"/>
                <w:bCs w:val="1"/>
                <w:color w:val="ffffff"/>
                <w:sz w:val="24"/>
                <w:szCs w:val="24"/>
                <w:rtl w:val="0"/>
              </w:rPr>
              <w:t xml:space="preserve">Strategies</w:t>
            </w:r>
          </w:p>
        </w:tc>
        <w:tc>
          <w:tcPr>
            <w:shd w:fill="2e6196" w:val="clear"/>
            <w:tcMar>
              <w:top w:w="100.0" w:type="dxa"/>
              <w:left w:w="100.0" w:type="dxa"/>
              <w:bottom w:w="100.0" w:type="dxa"/>
              <w:right w:w="100.0" w:type="dxa"/>
            </w:tcMar>
            <w:vAlign w:val="top"/>
          </w:tcPr>
          <w:p w:rsidR="00000000" w:rsidDel="00000000" w:rsidP="00000000" w:rsidRDefault="00000000" w:rsidRPr="00000000" w14:paraId="00000018">
            <w:pPr>
              <w:pStyle w:val="Heading2"/>
              <w:spacing w:after="0" w:before="0" w:lineRule="auto"/>
              <w:rPr>
                <w:b w:val="1"/>
                <w:bCs w:val="1"/>
                <w:color w:val="ffffff"/>
                <w:sz w:val="24"/>
                <w:szCs w:val="24"/>
              </w:rPr>
            </w:pPr>
            <w:bookmarkStart w:colFirst="0" w:colLast="0" w:name="_mfgftigjn6kc" w:id="4"/>
            <w:bookmarkEnd w:id="4"/>
            <w:r w:rsidDel="00000000" w:rsidR="00000000" w:rsidRPr="00000000">
              <w:rPr>
                <w:b w:val="1"/>
                <w:bCs w:val="1"/>
                <w:color w:val="ffffff"/>
                <w:sz w:val="24"/>
                <w:szCs w:val="24"/>
                <w:rtl w:val="0"/>
              </w:rPr>
              <w:t xml:space="preserve">Description</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19">
            <w:pPr>
              <w:pStyle w:val="Heading2"/>
              <w:spacing w:after="100" w:before="0" w:lineRule="auto"/>
              <w:rPr>
                <w:sz w:val="20"/>
                <w:szCs w:val="20"/>
              </w:rPr>
            </w:pPr>
            <w:bookmarkStart w:colFirst="0" w:colLast="0" w:name="_2m2uksw52mgn" w:id="5"/>
            <w:bookmarkEnd w:id="5"/>
            <w:r w:rsidDel="00000000" w:rsidR="00000000" w:rsidRPr="00000000">
              <w:rPr>
                <w:sz w:val="20"/>
                <w:szCs w:val="20"/>
                <w:rtl w:val="0"/>
              </w:rPr>
              <w:t xml:space="preserve">Lower DEQ regulatory threshold from 2M to 1M barrels for the Fuel Tank Seismic Stability Program.</w:t>
            </w:r>
          </w:p>
          <w:p w:rsidR="00000000" w:rsidDel="00000000" w:rsidP="00000000" w:rsidRDefault="00000000" w:rsidRPr="00000000" w14:paraId="0000001A">
            <w:pPr>
              <w:spacing w:line="240" w:lineRule="auto"/>
              <w:rPr>
                <w:i w:val="1"/>
                <w:iCs w:val="1"/>
                <w:sz w:val="20"/>
                <w:szCs w:val="20"/>
              </w:rPr>
            </w:pPr>
            <w:r w:rsidDel="00000000" w:rsidR="00000000" w:rsidRPr="00000000">
              <w:rPr>
                <w:i w:val="1"/>
                <w:iCs w:val="1"/>
                <w:sz w:val="16"/>
                <w:szCs w:val="16"/>
                <w:rtl w:val="0"/>
              </w:rPr>
              <w:t xml:space="preserve">Type of action: Advocacy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B">
            <w:pPr>
              <w:pStyle w:val="Heading2"/>
              <w:spacing w:after="0" w:before="0" w:lineRule="auto"/>
              <w:rPr>
                <w:sz w:val="16"/>
                <w:szCs w:val="16"/>
              </w:rPr>
            </w:pPr>
            <w:bookmarkStart w:colFirst="0" w:colLast="0" w:name="_6e6nqfb9bijr" w:id="3"/>
            <w:bookmarkEnd w:id="3"/>
            <w:r w:rsidDel="00000000" w:rsidR="00000000" w:rsidRPr="00000000">
              <w:rPr>
                <w:sz w:val="16"/>
                <w:szCs w:val="16"/>
                <w:rtl w:val="0"/>
              </w:rPr>
              <w:t xml:space="preserve">Advocate for the Department of Environmental Quality (DEQ) to reduce its regulatory threshold for liquid fuels by engaging with DEQ leadership, the Environmental Quality Commission and the Oregon State Legislature in order to ensure that more fossil fuel infrastructure is covered under state regulation.</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1C">
            <w:pPr>
              <w:pStyle w:val="Heading2"/>
              <w:spacing w:after="100" w:before="0" w:lineRule="auto"/>
              <w:rPr>
                <w:sz w:val="20"/>
                <w:szCs w:val="20"/>
              </w:rPr>
            </w:pPr>
            <w:bookmarkStart w:colFirst="0" w:colLast="0" w:name="_xqer6r2ffod3" w:id="6"/>
            <w:bookmarkEnd w:id="6"/>
            <w:r w:rsidDel="00000000" w:rsidR="00000000" w:rsidRPr="00000000">
              <w:rPr>
                <w:sz w:val="20"/>
                <w:szCs w:val="20"/>
                <w:rtl w:val="0"/>
              </w:rPr>
              <w:t xml:space="preserve">Support fossil fuel infrastructure engagement campaigns, including community-led community health/environmental justice research.</w:t>
            </w:r>
          </w:p>
          <w:p w:rsidR="00000000" w:rsidDel="00000000" w:rsidP="00000000" w:rsidRDefault="00000000" w:rsidRPr="00000000" w14:paraId="0000001D">
            <w:pPr>
              <w:spacing w:line="240" w:lineRule="auto"/>
              <w:rPr>
                <w:i w:val="1"/>
                <w:iCs w:val="1"/>
                <w:sz w:val="20"/>
                <w:szCs w:val="20"/>
              </w:rPr>
            </w:pPr>
            <w:r w:rsidDel="00000000" w:rsidR="00000000" w:rsidRPr="00000000">
              <w:rPr>
                <w:i w:val="1"/>
                <w:iCs w:val="1"/>
                <w:sz w:val="16"/>
                <w:szCs w:val="16"/>
                <w:rtl w:val="0"/>
              </w:rPr>
              <w:t xml:space="preserve">Type of action: Create/fund program; Governance/third space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1E">
            <w:pPr>
              <w:pStyle w:val="Heading2"/>
              <w:spacing w:after="0" w:before="0" w:lineRule="auto"/>
              <w:rPr>
                <w:sz w:val="16"/>
                <w:szCs w:val="16"/>
              </w:rPr>
            </w:pPr>
            <w:bookmarkStart w:colFirst="0" w:colLast="0" w:name="_mfdd6e44hq6v" w:id="7"/>
            <w:bookmarkEnd w:id="7"/>
            <w:r w:rsidDel="00000000" w:rsidR="00000000" w:rsidRPr="00000000">
              <w:rPr>
                <w:sz w:val="16"/>
                <w:szCs w:val="16"/>
                <w:rtl w:val="0"/>
              </w:rPr>
              <w:t xml:space="preserve">Conduct a fossil fuel infrastructure education campaign (where/what sites generate emissions, co-pollutants, etc.) to grow community awareness of these issues. Fund community-led cumulative health risk studies focused on frontline communities near superfund sites and CEI Hub to inform future policy considerations.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1F">
            <w:pPr>
              <w:pStyle w:val="Heading2"/>
              <w:spacing w:after="100" w:before="0" w:lineRule="auto"/>
              <w:rPr>
                <w:sz w:val="20"/>
                <w:szCs w:val="20"/>
              </w:rPr>
            </w:pPr>
            <w:bookmarkStart w:colFirst="0" w:colLast="0" w:name="_yyrm69ytvr6j" w:id="8"/>
            <w:bookmarkEnd w:id="8"/>
            <w:r w:rsidDel="00000000" w:rsidR="00000000" w:rsidRPr="00000000">
              <w:rPr>
                <w:sz w:val="20"/>
                <w:szCs w:val="20"/>
                <w:rtl w:val="0"/>
              </w:rPr>
              <w:t xml:space="preserve">Advocate for regulatory oversight of hydrogen use, especially in homes.</w:t>
            </w:r>
          </w:p>
          <w:p w:rsidR="00000000" w:rsidDel="00000000" w:rsidP="00000000" w:rsidRDefault="00000000" w:rsidRPr="00000000" w14:paraId="00000020">
            <w:pPr>
              <w:spacing w:line="240" w:lineRule="auto"/>
              <w:rPr>
                <w:i w:val="1"/>
                <w:iCs w:val="1"/>
                <w:sz w:val="20"/>
                <w:szCs w:val="20"/>
              </w:rPr>
            </w:pPr>
            <w:r w:rsidDel="00000000" w:rsidR="00000000" w:rsidRPr="00000000">
              <w:rPr>
                <w:i w:val="1"/>
                <w:iCs w:val="1"/>
                <w:sz w:val="16"/>
                <w:szCs w:val="16"/>
                <w:rtl w:val="0"/>
              </w:rPr>
              <w:t xml:space="preserve">Type of action: Change law</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1">
            <w:pPr>
              <w:pStyle w:val="Heading2"/>
              <w:spacing w:after="0" w:before="0" w:lineRule="auto"/>
              <w:rPr>
                <w:sz w:val="16"/>
                <w:szCs w:val="16"/>
              </w:rPr>
            </w:pPr>
            <w:bookmarkStart w:colFirst="0" w:colLast="0" w:name="_lvcyv1a2fktu" w:id="9"/>
            <w:bookmarkEnd w:id="9"/>
            <w:r w:rsidDel="00000000" w:rsidR="00000000" w:rsidRPr="00000000">
              <w:rPr>
                <w:sz w:val="16"/>
                <w:szCs w:val="16"/>
                <w:rtl w:val="0"/>
              </w:rPr>
              <w:t xml:space="preserve">Advocate for passage of legislation that establishes state oversight of hydrogen use, especially when used in people’s homes, in order to address the potential risks of hydrogen as a replacement for fossil methane gas.</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2">
            <w:pPr>
              <w:pStyle w:val="Heading2"/>
              <w:spacing w:after="100" w:before="0" w:lineRule="auto"/>
              <w:rPr>
                <w:sz w:val="20"/>
                <w:szCs w:val="20"/>
              </w:rPr>
            </w:pPr>
            <w:bookmarkStart w:colFirst="0" w:colLast="0" w:name="_tw5tfnn8woax" w:id="10"/>
            <w:bookmarkEnd w:id="10"/>
            <w:r w:rsidDel="00000000" w:rsidR="00000000" w:rsidRPr="00000000">
              <w:rPr>
                <w:sz w:val="20"/>
                <w:szCs w:val="20"/>
                <w:rtl w:val="0"/>
              </w:rPr>
              <w:t xml:space="preserve">Expand community involvement around land use/zoning reformation and strengthen the County's land use planning.</w:t>
            </w:r>
          </w:p>
          <w:p w:rsidR="00000000" w:rsidDel="00000000" w:rsidP="00000000" w:rsidRDefault="00000000" w:rsidRPr="00000000" w14:paraId="00000023">
            <w:pPr>
              <w:spacing w:line="240" w:lineRule="auto"/>
              <w:rPr>
                <w:i w:val="1"/>
                <w:iCs w:val="1"/>
                <w:sz w:val="20"/>
                <w:szCs w:val="20"/>
              </w:rPr>
            </w:pPr>
            <w:r w:rsidDel="00000000" w:rsidR="00000000" w:rsidRPr="00000000">
              <w:rPr>
                <w:i w:val="1"/>
                <w:iCs w:val="1"/>
                <w:sz w:val="16"/>
                <w:szCs w:val="16"/>
                <w:rtl w:val="0"/>
              </w:rPr>
              <w:t xml:space="preserve">Type of action: Create/fund program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4">
            <w:pPr>
              <w:pStyle w:val="Heading2"/>
              <w:spacing w:after="0" w:before="0" w:lineRule="auto"/>
              <w:rPr>
                <w:sz w:val="16"/>
                <w:szCs w:val="16"/>
              </w:rPr>
            </w:pPr>
            <w:bookmarkStart w:colFirst="0" w:colLast="0" w:name="_veddkv97ec65" w:id="11"/>
            <w:bookmarkEnd w:id="11"/>
            <w:r w:rsidDel="00000000" w:rsidR="00000000" w:rsidRPr="00000000">
              <w:rPr>
                <w:sz w:val="16"/>
                <w:szCs w:val="16"/>
                <w:rtl w:val="0"/>
              </w:rPr>
              <w:t xml:space="preserve">Work with interested stakeholders to consider innovative strategies like health overlay zones to advance climate justice beyond the County’s limited land use authority, which applies only to areas of unincorporated Multnomah County.</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5">
            <w:pPr>
              <w:pStyle w:val="Heading2"/>
              <w:spacing w:after="100" w:before="0" w:lineRule="auto"/>
              <w:rPr>
                <w:sz w:val="20"/>
                <w:szCs w:val="20"/>
              </w:rPr>
            </w:pPr>
            <w:bookmarkStart w:colFirst="0" w:colLast="0" w:name="_ski2wc42ybv3" w:id="12"/>
            <w:bookmarkEnd w:id="12"/>
            <w:r w:rsidDel="00000000" w:rsidR="00000000" w:rsidRPr="00000000">
              <w:rPr>
                <w:sz w:val="20"/>
                <w:szCs w:val="20"/>
                <w:rtl w:val="0"/>
              </w:rPr>
              <w:t xml:space="preserve">Stop permitting new gas stations.</w:t>
            </w:r>
          </w:p>
          <w:p w:rsidR="00000000" w:rsidDel="00000000" w:rsidP="00000000" w:rsidRDefault="00000000" w:rsidRPr="00000000" w14:paraId="00000026">
            <w:pPr>
              <w:spacing w:line="240" w:lineRule="auto"/>
              <w:rPr>
                <w:i w:val="1"/>
                <w:iCs w:val="1"/>
                <w:sz w:val="20"/>
                <w:szCs w:val="20"/>
              </w:rPr>
            </w:pPr>
            <w:r w:rsidDel="00000000" w:rsidR="00000000" w:rsidRPr="00000000">
              <w:rPr>
                <w:i w:val="1"/>
                <w:iCs w:val="1"/>
                <w:sz w:val="16"/>
                <w:szCs w:val="16"/>
                <w:rtl w:val="0"/>
              </w:rPr>
              <w:t xml:space="preserve">Type of action: Change law</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7">
            <w:pPr>
              <w:pStyle w:val="Heading2"/>
              <w:spacing w:after="0" w:before="0" w:lineRule="auto"/>
              <w:rPr>
                <w:sz w:val="16"/>
                <w:szCs w:val="16"/>
              </w:rPr>
            </w:pPr>
            <w:bookmarkStart w:colFirst="0" w:colLast="0" w:name="_ni2hstxtpovz" w:id="13"/>
            <w:bookmarkEnd w:id="13"/>
            <w:r w:rsidDel="00000000" w:rsidR="00000000" w:rsidRPr="00000000">
              <w:rPr>
                <w:sz w:val="16"/>
                <w:szCs w:val="16"/>
                <w:rtl w:val="0"/>
              </w:rPr>
              <w:t xml:space="preserve">Advocate for future prohibition on new gas station development within the Multnomah County cities to reduce the negative impacts of fossil fuels and to accelerate the transition to cleaner transportation technologies like electric vehicles. Include strategies for addressing contamination at the sites (brownfields) after closure.</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8">
            <w:pPr>
              <w:pStyle w:val="Heading2"/>
              <w:spacing w:after="100" w:before="0" w:lineRule="auto"/>
              <w:rPr>
                <w:sz w:val="20"/>
                <w:szCs w:val="20"/>
              </w:rPr>
            </w:pPr>
            <w:bookmarkStart w:colFirst="0" w:colLast="0" w:name="_rrpx3ndp13rl" w:id="14"/>
            <w:bookmarkEnd w:id="14"/>
            <w:r w:rsidDel="00000000" w:rsidR="00000000" w:rsidRPr="00000000">
              <w:rPr>
                <w:sz w:val="20"/>
                <w:szCs w:val="20"/>
                <w:rtl w:val="0"/>
              </w:rPr>
              <w:t xml:space="preserve">Identify and pursue regulatory pathways to limit the growth of the 'natural' gas system.</w:t>
            </w:r>
          </w:p>
          <w:p w:rsidR="00000000" w:rsidDel="00000000" w:rsidP="00000000" w:rsidRDefault="00000000" w:rsidRPr="00000000" w14:paraId="00000029">
            <w:pPr>
              <w:spacing w:line="240" w:lineRule="auto"/>
              <w:rPr>
                <w:i w:val="1"/>
                <w:iCs w:val="1"/>
                <w:sz w:val="20"/>
                <w:szCs w:val="20"/>
              </w:rPr>
            </w:pPr>
            <w:r w:rsidDel="00000000" w:rsidR="00000000" w:rsidRPr="00000000">
              <w:rPr>
                <w:i w:val="1"/>
                <w:iCs w:val="1"/>
                <w:sz w:val="16"/>
                <w:szCs w:val="16"/>
                <w:rtl w:val="0"/>
              </w:rPr>
              <w:t xml:space="preserve">Type of action: Change law</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A">
            <w:pPr>
              <w:pStyle w:val="Heading2"/>
              <w:spacing w:after="0" w:before="0" w:lineRule="auto"/>
              <w:rPr>
                <w:sz w:val="16"/>
                <w:szCs w:val="16"/>
              </w:rPr>
            </w:pPr>
            <w:bookmarkStart w:colFirst="0" w:colLast="0" w:name="_ixzksg4on3ga" w:id="15"/>
            <w:bookmarkEnd w:id="15"/>
            <w:r w:rsidDel="00000000" w:rsidR="00000000" w:rsidRPr="00000000">
              <w:rPr>
                <w:sz w:val="16"/>
                <w:szCs w:val="16"/>
                <w:rtl w:val="0"/>
              </w:rPr>
              <w:t xml:space="preserve">Advocate at the state level and explore legal pathways for limiting emissions from natural gas used for space and water heating by limiting new gas hookups in Multnomah County. Explore regulatory pathways for limiting losses from stranded assets, e.g. accelerated depreciation of existing assets, cost-benefit analysis of new investments in gas distribution vs electrification, etc.</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B">
            <w:pPr>
              <w:pStyle w:val="Heading2"/>
              <w:spacing w:after="100" w:before="0" w:lineRule="auto"/>
              <w:rPr>
                <w:sz w:val="20"/>
                <w:szCs w:val="20"/>
              </w:rPr>
            </w:pPr>
            <w:bookmarkStart w:colFirst="0" w:colLast="0" w:name="_ihv0j1z0r0e0" w:id="16"/>
            <w:bookmarkEnd w:id="16"/>
            <w:r w:rsidDel="00000000" w:rsidR="00000000" w:rsidRPr="00000000">
              <w:rPr>
                <w:sz w:val="20"/>
                <w:szCs w:val="20"/>
                <w:rtl w:val="0"/>
              </w:rPr>
              <w:t xml:space="preserve">Seismically retrofit everything that holds or moves fossil fuels, including tanks in CEI Hub and gas meters at homes.</w:t>
            </w:r>
          </w:p>
          <w:p w:rsidR="00000000" w:rsidDel="00000000" w:rsidP="00000000" w:rsidRDefault="00000000" w:rsidRPr="00000000" w14:paraId="0000002C">
            <w:pPr>
              <w:spacing w:line="240" w:lineRule="auto"/>
              <w:rPr>
                <w:i w:val="1"/>
                <w:iCs w:val="1"/>
                <w:sz w:val="20"/>
                <w:szCs w:val="20"/>
              </w:rPr>
            </w:pPr>
            <w:r w:rsidDel="00000000" w:rsidR="00000000" w:rsidRPr="00000000">
              <w:rPr>
                <w:i w:val="1"/>
                <w:iCs w:val="1"/>
                <w:sz w:val="16"/>
                <w:szCs w:val="16"/>
                <w:rtl w:val="0"/>
              </w:rPr>
              <w:t xml:space="preserve">Type of action: Change law; Create/fund program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2D">
            <w:pPr>
              <w:pStyle w:val="Heading2"/>
              <w:spacing w:after="0" w:before="0" w:lineRule="auto"/>
              <w:rPr>
                <w:sz w:val="16"/>
                <w:szCs w:val="16"/>
              </w:rPr>
            </w:pPr>
            <w:bookmarkStart w:colFirst="0" w:colLast="0" w:name="_5zc81skhc597" w:id="17"/>
            <w:bookmarkEnd w:id="17"/>
            <w:r w:rsidDel="00000000" w:rsidR="00000000" w:rsidRPr="00000000">
              <w:rPr>
                <w:sz w:val="16"/>
                <w:szCs w:val="16"/>
                <w:rtl w:val="0"/>
              </w:rPr>
              <w:t xml:space="preserve">Advocate for legislative and regulatory changes; develop and/or support programs that deliver seismic retrofits to protect the community from the risks that this infrastructure poses during and after a major earthquake.</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2E">
            <w:pPr>
              <w:pStyle w:val="Heading2"/>
              <w:spacing w:after="100" w:before="0" w:lineRule="auto"/>
              <w:rPr>
                <w:sz w:val="20"/>
                <w:szCs w:val="20"/>
              </w:rPr>
            </w:pPr>
            <w:bookmarkStart w:colFirst="0" w:colLast="0" w:name="_tcu8feszut6x" w:id="18"/>
            <w:bookmarkEnd w:id="18"/>
            <w:r w:rsidDel="00000000" w:rsidR="00000000" w:rsidRPr="00000000">
              <w:rPr>
                <w:sz w:val="20"/>
                <w:szCs w:val="20"/>
                <w:rtl w:val="0"/>
              </w:rPr>
              <w:t xml:space="preserve">Implement a hazardous material storage fee.</w:t>
            </w:r>
          </w:p>
          <w:p w:rsidR="00000000" w:rsidDel="00000000" w:rsidP="00000000" w:rsidRDefault="00000000" w:rsidRPr="00000000" w14:paraId="0000002F">
            <w:pPr>
              <w:spacing w:line="240" w:lineRule="auto"/>
              <w:rPr>
                <w:i w:val="1"/>
                <w:iCs w:val="1"/>
                <w:sz w:val="20"/>
                <w:szCs w:val="20"/>
              </w:rPr>
            </w:pPr>
            <w:r w:rsidDel="00000000" w:rsidR="00000000" w:rsidRPr="00000000">
              <w:rPr>
                <w:i w:val="1"/>
                <w:iCs w:val="1"/>
                <w:sz w:val="16"/>
                <w:szCs w:val="16"/>
                <w:rtl w:val="0"/>
              </w:rPr>
              <w:t xml:space="preserve">Type of action: Change law; Create/fund program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0">
            <w:pPr>
              <w:pStyle w:val="Heading2"/>
              <w:spacing w:after="0" w:before="0" w:lineRule="auto"/>
              <w:rPr>
                <w:sz w:val="16"/>
                <w:szCs w:val="16"/>
              </w:rPr>
            </w:pPr>
            <w:bookmarkStart w:colFirst="0" w:colLast="0" w:name="_2wzyidnrd2n" w:id="19"/>
            <w:bookmarkEnd w:id="19"/>
            <w:r w:rsidDel="00000000" w:rsidR="00000000" w:rsidRPr="00000000">
              <w:rPr>
                <w:sz w:val="16"/>
                <w:szCs w:val="16"/>
                <w:rtl w:val="0"/>
              </w:rPr>
              <w:t xml:space="preserve">Work with state and jurisdictional partners to explore and support development of a hazardous material storage fee to fund better emergency response capability, especially in areas close to hazardous material storage.</w:t>
            </w:r>
          </w:p>
        </w:tc>
      </w:tr>
      <w:tr>
        <w:trPr>
          <w:cantSplit w:val="0"/>
          <w:tblHeader w:val="0"/>
        </w:trPr>
        <w:tc>
          <w:tcPr>
            <w:shd w:fill="d4dfea" w:val="clear"/>
            <w:tcMar>
              <w:top w:w="100.0" w:type="dxa"/>
              <w:left w:w="100.0" w:type="dxa"/>
              <w:bottom w:w="100.0" w:type="dxa"/>
              <w:right w:w="100.0" w:type="dxa"/>
            </w:tcMar>
            <w:vAlign w:val="top"/>
          </w:tcPr>
          <w:p w:rsidR="00000000" w:rsidDel="00000000" w:rsidP="00000000" w:rsidRDefault="00000000" w:rsidRPr="00000000" w14:paraId="00000031">
            <w:pPr>
              <w:pStyle w:val="Heading2"/>
              <w:spacing w:after="100" w:before="0" w:lineRule="auto"/>
              <w:rPr>
                <w:sz w:val="20"/>
                <w:szCs w:val="20"/>
              </w:rPr>
            </w:pPr>
            <w:bookmarkStart w:colFirst="0" w:colLast="0" w:name="_a34o6jqnu0j3" w:id="20"/>
            <w:bookmarkEnd w:id="20"/>
            <w:r w:rsidDel="00000000" w:rsidR="00000000" w:rsidRPr="00000000">
              <w:rPr>
                <w:sz w:val="20"/>
                <w:szCs w:val="20"/>
                <w:rtl w:val="0"/>
              </w:rPr>
              <w:t xml:space="preserve">Ensure financial responsibility for cleanup from CEI Hub facilities.</w:t>
            </w:r>
          </w:p>
          <w:p w:rsidR="00000000" w:rsidDel="00000000" w:rsidP="00000000" w:rsidRDefault="00000000" w:rsidRPr="00000000" w14:paraId="00000032">
            <w:pPr>
              <w:spacing w:line="240" w:lineRule="auto"/>
              <w:rPr>
                <w:i w:val="1"/>
                <w:iCs w:val="1"/>
                <w:sz w:val="20"/>
                <w:szCs w:val="20"/>
              </w:rPr>
            </w:pPr>
            <w:r w:rsidDel="00000000" w:rsidR="00000000" w:rsidRPr="00000000">
              <w:rPr>
                <w:i w:val="1"/>
                <w:iCs w:val="1"/>
                <w:sz w:val="16"/>
                <w:szCs w:val="16"/>
                <w:rtl w:val="0"/>
              </w:rPr>
              <w:t xml:space="preserve">Type of action: Advocacy; Create/fund program</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3">
            <w:pPr>
              <w:pStyle w:val="Heading2"/>
              <w:spacing w:after="0" w:before="0" w:lineRule="auto"/>
              <w:rPr>
                <w:sz w:val="16"/>
                <w:szCs w:val="16"/>
              </w:rPr>
            </w:pPr>
            <w:bookmarkStart w:colFirst="0" w:colLast="0" w:name="_tsmehgdjdgok" w:id="21"/>
            <w:bookmarkEnd w:id="21"/>
            <w:r w:rsidDel="00000000" w:rsidR="00000000" w:rsidRPr="00000000">
              <w:rPr>
                <w:sz w:val="16"/>
                <w:szCs w:val="16"/>
                <w:rtl w:val="0"/>
              </w:rPr>
              <w:t xml:space="preserve">The CEI Hub was built on unstable soil subject to liquefaction and lateral spreading in an earthquake. A major Cascadia Subduction Zone earthquake would result in profound impacts to surrounding communities and ecosystems. A financial assurance program will mandate that owners and operators at the CEI Hub take financial responsibility for any damages caused by the fossil fuels and hazardous materials stored there in case of a worst-case release due to an earthquake, ensuring taxpayers are not left financially responsible. Legislation is required to create the financial responsibility requirement and it can be implemented by state or local agencies.</w:t>
            </w:r>
          </w:p>
        </w:tc>
      </w:tr>
    </w:tbl>
    <w:p w:rsidR="00000000" w:rsidDel="00000000" w:rsidP="00000000" w:rsidRDefault="00000000" w:rsidRPr="00000000" w14:paraId="00000034">
      <w:pPr>
        <w:rPr>
          <w:sz w:val="2"/>
          <w:szCs w:val="2"/>
        </w:rPr>
      </w:pPr>
      <w:r w:rsidDel="00000000" w:rsidR="00000000" w:rsidRPr="00000000">
        <w:rPr>
          <w:rtl w:val="0"/>
        </w:rPr>
      </w:r>
    </w:p>
    <w:tbl>
      <w:tblPr>
        <w:tblStyle w:val="Table6"/>
        <w:tblW w:w="10800.0" w:type="dxa"/>
        <w:jc w:val="left"/>
        <w:tblInd w:w="1.4210854715202004E-13"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35">
            <w:pPr>
              <w:pStyle w:val="Heading2"/>
              <w:spacing w:after="0" w:before="0" w:lineRule="auto"/>
              <w:rPr>
                <w:b w:val="1"/>
                <w:bCs w:val="1"/>
                <w:sz w:val="24"/>
                <w:szCs w:val="24"/>
              </w:rPr>
            </w:pPr>
            <w:bookmarkStart w:colFirst="0" w:colLast="0" w:name="_9t8pf56usp56" w:id="22"/>
            <w:bookmarkEnd w:id="22"/>
            <w:r w:rsidDel="00000000" w:rsidR="00000000" w:rsidRPr="00000000">
              <w:rPr>
                <w:b w:val="1"/>
                <w:bCs w:val="1"/>
                <w:sz w:val="24"/>
                <w:szCs w:val="24"/>
                <w:rtl w:val="0"/>
              </w:rPr>
              <w:t xml:space="preserve">Notes</w:t>
            </w:r>
          </w:p>
        </w:tc>
      </w:tr>
      <w:tr>
        <w:trPr>
          <w:cantSplit w:val="0"/>
          <w:tblHeader w:val="0"/>
        </w:trPr>
        <w:tc>
          <w:tcPr>
            <w:tcMar>
              <w:top w:w="100.0" w:type="dxa"/>
              <w:left w:w="100.0" w:type="dxa"/>
              <w:bottom w:w="100.0" w:type="dxa"/>
              <w:right w:w="100.0" w:type="dxa"/>
            </w:tcMar>
            <w:vAlign w:val="top"/>
          </w:tcPr>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rPr>
                <w:sz w:val="8"/>
                <w:szCs w:val="8"/>
              </w:rPr>
            </w:pPr>
            <w:r w:rsidDel="00000000" w:rsidR="00000000" w:rsidRPr="00000000">
              <w:rPr>
                <w:rtl w:val="0"/>
              </w:rPr>
            </w:r>
          </w:p>
          <w:p w:rsidR="00000000" w:rsidDel="00000000" w:rsidP="00000000" w:rsidRDefault="00000000" w:rsidRPr="00000000" w14:paraId="00000038">
            <w:pPr>
              <w:rPr>
                <w:sz w:val="8"/>
                <w:szCs w:val="8"/>
              </w:rPr>
            </w:pPr>
            <w:r w:rsidDel="00000000" w:rsidR="00000000" w:rsidRPr="00000000">
              <w:rPr>
                <w:rtl w:val="0"/>
              </w:rPr>
            </w:r>
          </w:p>
          <w:p w:rsidR="00000000" w:rsidDel="00000000" w:rsidP="00000000" w:rsidRDefault="00000000" w:rsidRPr="00000000" w14:paraId="00000039">
            <w:pPr>
              <w:rPr>
                <w:sz w:val="8"/>
                <w:szCs w:val="8"/>
              </w:rPr>
            </w:pPr>
            <w:r w:rsidDel="00000000" w:rsidR="00000000" w:rsidRPr="00000000">
              <w:rPr>
                <w:rtl w:val="0"/>
              </w:rPr>
            </w:r>
          </w:p>
          <w:p w:rsidR="00000000" w:rsidDel="00000000" w:rsidP="00000000" w:rsidRDefault="00000000" w:rsidRPr="00000000" w14:paraId="0000003A">
            <w:pPr>
              <w:rPr>
                <w:sz w:val="8"/>
                <w:szCs w:val="8"/>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rPr>
                <w:sz w:val="20"/>
                <w:szCs w:val="20"/>
              </w:rPr>
            </w:pPr>
            <w:r w:rsidDel="00000000" w:rsidR="00000000" w:rsidRPr="00000000">
              <w:rPr>
                <w:rtl w:val="0"/>
              </w:rPr>
            </w:r>
          </w:p>
        </w:tc>
      </w:tr>
    </w:tbl>
    <w:p w:rsidR="00000000" w:rsidDel="00000000" w:rsidP="00000000" w:rsidRDefault="00000000" w:rsidRPr="00000000" w14:paraId="0000003D">
      <w:pPr>
        <w:rPr/>
      </w:pPr>
      <w:r w:rsidDel="00000000" w:rsidR="00000000" w:rsidRPr="00000000">
        <w:rPr>
          <w:rtl w:val="0"/>
        </w:rPr>
      </w:r>
    </w:p>
    <w:sectPr>
      <w:headerReference r:id="rId6" w:type="default"/>
      <w:footerReference r:id="rId7" w:type="default"/>
      <w:pgSz w:h="15840" w:w="12240" w:orient="portrait"/>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ind w:right="0"/>
      <w:jc w:val="right"/>
      <w:rPr>
        <w:sz w:val="12"/>
        <w:szCs w:val="12"/>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spacing w:after="0" w:lineRule="auto"/>
      <w:ind w:left="0" w:firstLine="0"/>
      <w:rPr>
        <w:b w:val="1"/>
        <w:bCs w:val="1"/>
        <w:i w:val="1"/>
        <w:iCs w:val="1"/>
        <w:color w:val="999999"/>
      </w:rPr>
    </w:pPr>
    <w:r w:rsidDel="00000000" w:rsidR="00000000" w:rsidRPr="00000000">
      <w:rPr>
        <w:b w:val="1"/>
        <w:bCs w:val="1"/>
        <w:i w:val="1"/>
        <w:iCs w:val="1"/>
        <w:color w:val="999999"/>
        <w:rtl w:val="0"/>
      </w:rPr>
      <w:t xml:space="preserve">Climate Justice Plan Community Forum | Fossil Fuels</w:t>
    </w:r>
    <w:r w:rsidDel="00000000" w:rsidR="00000000" w:rsidRPr="00000000">
      <w:drawing>
        <wp:anchor allowOverlap="1" behindDoc="1" distB="114300" distT="114300" distL="114300" distR="114300" hidden="0" layoutInCell="1" locked="0" relativeHeight="0" simplePos="0">
          <wp:simplePos x="0" y="0"/>
          <wp:positionH relativeFrom="column">
            <wp:posOffset>6014085</wp:posOffset>
          </wp:positionH>
          <wp:positionV relativeFrom="paragraph">
            <wp:posOffset>-123824</wp:posOffset>
          </wp:positionV>
          <wp:extent cx="848661" cy="41889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48661" cy="418890"/>
                  </a:xfrm>
                  <a:prstGeom prst="rect"/>
                  <a:ln/>
                </pic:spPr>
              </pic:pic>
            </a:graphicData>
          </a:graphic>
        </wp:anchor>
      </w:drawing>
    </w:r>
  </w:p>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