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
          <w:szCs w:val="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345"/>
        <w:gridCol w:w="1725"/>
        <w:gridCol w:w="4035"/>
        <w:tblGridChange w:id="0">
          <w:tblGrid>
            <w:gridCol w:w="1695"/>
            <w:gridCol w:w="3345"/>
            <w:gridCol w:w="1725"/>
            <w:gridCol w:w="40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06">
      <w:pPr>
        <w:spacing w:after="0" w:lineRule="auto"/>
        <w:rPr>
          <w:b w:val="1"/>
          <w:bCs w:val="1"/>
          <w:sz w:val="2"/>
          <w:szCs w:val="2"/>
        </w:rPr>
      </w:pPr>
      <w:r w:rsidDel="00000000" w:rsidR="00000000" w:rsidRPr="00000000">
        <w:rPr>
          <w:rtl w:val="0"/>
        </w:rPr>
      </w:r>
    </w:p>
    <w:tbl>
      <w:tblPr>
        <w:tblStyle w:val="Table2"/>
        <w:tblW w:w="108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
        <w:tblGridChange w:id="0">
          <w:tblGrid>
            <w:gridCol w:w="10803"/>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Rule="auto"/>
              <w:ind w:left="0" w:right="-90" w:firstLine="0"/>
              <w:rPr>
                <w:rFonts w:ascii="Helvetica Neue" w:cs="Helvetica Neue" w:eastAsia="Helvetica Neue" w:hAnsi="Helvetica Neue"/>
                <w:b w:val="1"/>
                <w:bCs w:val="1"/>
                <w:sz w:val="24"/>
                <w:szCs w:val="24"/>
              </w:rPr>
            </w:pPr>
            <w:bookmarkStart w:colFirst="0" w:colLast="0" w:name="_d7moyd68ox6x" w:id="0"/>
            <w:bookmarkEnd w:id="0"/>
            <w:r w:rsidDel="00000000" w:rsidR="00000000" w:rsidRPr="00000000">
              <w:rPr>
                <w:rFonts w:ascii="Helvetica Neue" w:cs="Helvetica Neue" w:eastAsia="Helvetica Neue" w:hAnsi="Helvetica Neue"/>
                <w:b w:val="1"/>
                <w:bCs w:val="1"/>
                <w:sz w:val="24"/>
                <w:szCs w:val="24"/>
                <w:rtl w:val="0"/>
              </w:rPr>
              <w:t xml:space="preserve">Goal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8">
            <w:pPr>
              <w:pStyle w:val="Heading2"/>
              <w:spacing w:after="0" w:before="0" w:lineRule="auto"/>
              <w:rPr>
                <w:rFonts w:ascii="Helvetica Neue" w:cs="Helvetica Neue" w:eastAsia="Helvetica Neue" w:hAnsi="Helvetica Neue"/>
                <w:i w:val="1"/>
                <w:iCs w:val="1"/>
                <w:sz w:val="20"/>
                <w:szCs w:val="20"/>
              </w:rPr>
            </w:pPr>
            <w:bookmarkStart w:colFirst="0" w:colLast="0" w:name="_d7moyd68ox6x" w:id="0"/>
            <w:bookmarkEnd w:id="0"/>
            <w:r w:rsidDel="00000000" w:rsidR="00000000" w:rsidRPr="00000000">
              <w:rPr>
                <w:i w:val="1"/>
                <w:iCs w:val="1"/>
                <w:sz w:val="20"/>
                <w:szCs w:val="20"/>
                <w:rtl w:val="0"/>
              </w:rPr>
              <w:t xml:space="preserve">Every community member has safe, healthy and affordable housing.</w:t>
            </w:r>
            <w:r w:rsidDel="00000000" w:rsidR="00000000" w:rsidRPr="00000000">
              <w:rPr>
                <w:rtl w:val="0"/>
              </w:rPr>
            </w:r>
          </w:p>
        </w:tc>
      </w:tr>
    </w:tbl>
    <w:p w:rsidR="00000000" w:rsidDel="00000000" w:rsidP="00000000" w:rsidRDefault="00000000" w:rsidRPr="00000000" w14:paraId="00000009">
      <w:pPr>
        <w:rPr>
          <w:sz w:val="2"/>
          <w:szCs w:val="2"/>
        </w:rPr>
      </w:pPr>
      <w:r w:rsidDel="00000000" w:rsidR="00000000" w:rsidRPr="00000000">
        <w:rPr>
          <w:rtl w:val="0"/>
        </w:rPr>
      </w:r>
    </w:p>
    <w:tbl>
      <w:tblPr>
        <w:tblStyle w:val="Table3"/>
        <w:tblW w:w="1080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000000000002"/>
        <w:tblGridChange w:id="0">
          <w:tblGrid>
            <w:gridCol w:w="10803.00000000000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Style w:val="Heading2"/>
              <w:spacing w:after="0" w:before="0" w:lineRule="auto"/>
              <w:rPr>
                <w:b w:val="1"/>
                <w:bCs w:val="1"/>
                <w:sz w:val="24"/>
                <w:szCs w:val="24"/>
              </w:rPr>
            </w:pPr>
            <w:bookmarkStart w:colFirst="0" w:colLast="0" w:name="_d7moyd68ox6x" w:id="0"/>
            <w:bookmarkEnd w:id="0"/>
            <w:r w:rsidDel="00000000" w:rsidR="00000000" w:rsidRPr="00000000">
              <w:rPr>
                <w:b w:val="1"/>
                <w:bCs w:val="1"/>
                <w:sz w:val="24"/>
                <w:szCs w:val="24"/>
                <w:rtl w:val="0"/>
              </w:rPr>
              <w:t xml:space="preserve">Description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spacing w:after="100" w:line="276" w:lineRule="auto"/>
              <w:rPr>
                <w:sz w:val="20"/>
                <w:szCs w:val="20"/>
              </w:rPr>
            </w:pPr>
            <w:r w:rsidDel="00000000" w:rsidR="00000000" w:rsidRPr="00000000">
              <w:rPr>
                <w:sz w:val="20"/>
                <w:szCs w:val="20"/>
                <w:rtl w:val="0"/>
              </w:rPr>
              <w:t xml:space="preserve">Housing stability is foundational for health and well-being, and is the bedrock of thriving communities. Healthy and safe housing is even more crucial as our planet experiences climate disruptions, when our access to spaces that are temperature regulated can mean life or death. </w:t>
            </w:r>
          </w:p>
          <w:p w:rsidR="00000000" w:rsidDel="00000000" w:rsidP="00000000" w:rsidRDefault="00000000" w:rsidRPr="00000000" w14:paraId="0000000C">
            <w:pPr>
              <w:spacing w:after="100" w:line="276" w:lineRule="auto"/>
              <w:rPr>
                <w:sz w:val="20"/>
                <w:szCs w:val="20"/>
              </w:rPr>
            </w:pPr>
            <w:r w:rsidDel="00000000" w:rsidR="00000000" w:rsidRPr="00000000">
              <w:rPr>
                <w:sz w:val="20"/>
                <w:szCs w:val="20"/>
                <w:rtl w:val="0"/>
              </w:rPr>
              <w:t xml:space="preserve">Every member of our community needs access to housing that they can afford and keep them not just safe, but healthy. By promoting energy-efficient homes, we create havens from extreme heat and cold, protecting residents from the harshest effects of climate change. Families with stable housing also strengthen communities, making them better equipped to bounce back from weather disasters and build resilience. Additionally, focusing on transit-accessible housing reduces reliance on cars, lowering greenhouse gas emissions and contributing to a cleaner future for all.</w:t>
            </w:r>
          </w:p>
          <w:p w:rsidR="00000000" w:rsidDel="00000000" w:rsidP="00000000" w:rsidRDefault="00000000" w:rsidRPr="00000000" w14:paraId="0000000D">
            <w:pPr>
              <w:spacing w:after="100" w:line="276" w:lineRule="auto"/>
              <w:rPr>
                <w:sz w:val="20"/>
                <w:szCs w:val="20"/>
              </w:rPr>
            </w:pPr>
            <w:r w:rsidDel="00000000" w:rsidR="00000000" w:rsidRPr="00000000">
              <w:rPr>
                <w:sz w:val="20"/>
                <w:szCs w:val="20"/>
                <w:rtl w:val="0"/>
              </w:rPr>
              <w:t xml:space="preserve">How we design, build and maintain our residential buildings is key to both fostering community resilience and stopping climate change itself. Residential buildings account for 16% of greenhouse gas emissions in Multnomah County (2021). Many low- and moderate-income households have only limited ability to improve the conditions of their housing, particularly if they are renters. This is true for access to efficiency measures and new technologies like heat pumps, but also for basic maintenance like ensuring spaces are well ventilated and mold free. And for some, this means living through winters without a heat source due to costly repairs. For both repairs and new construction, it is critical that homes are designed with the health and well-being of the occupants as the highest priority. </w:t>
            </w:r>
          </w:p>
          <w:p w:rsidR="00000000" w:rsidDel="00000000" w:rsidP="00000000" w:rsidRDefault="00000000" w:rsidRPr="00000000" w14:paraId="0000000E">
            <w:pPr>
              <w:spacing w:after="0" w:line="276" w:lineRule="auto"/>
              <w:rPr>
                <w:sz w:val="20"/>
                <w:szCs w:val="20"/>
              </w:rPr>
            </w:pPr>
            <w:r w:rsidDel="00000000" w:rsidR="00000000" w:rsidRPr="00000000">
              <w:rPr>
                <w:sz w:val="20"/>
                <w:szCs w:val="20"/>
                <w:rtl w:val="0"/>
              </w:rPr>
              <w:t xml:space="preserve">Addressing houselessness and affordability is essential and should be recognized as a core climate resilience strategy. These issues are a priority for Multnomah County and its many partners seeking to address the housing crisis in the county. While other planning efforts guide this work more directly than the Climate Justice Plan, it is the hope that emphasizing the intersectional nature of the challenges brings additional energy and focus to the issue. </w:t>
            </w:r>
            <w:r w:rsidDel="00000000" w:rsidR="00000000" w:rsidRPr="00000000">
              <w:rPr>
                <w:rtl w:val="0"/>
              </w:rPr>
            </w:r>
          </w:p>
        </w:tc>
      </w:tr>
    </w:tbl>
    <w:p w:rsidR="00000000" w:rsidDel="00000000" w:rsidP="00000000" w:rsidRDefault="00000000" w:rsidRPr="00000000" w14:paraId="0000000F">
      <w:pPr>
        <w:rPr>
          <w:sz w:val="2"/>
          <w:szCs w:val="2"/>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0"/>
        <w:gridCol w:w="4590"/>
        <w:tblGridChange w:id="0">
          <w:tblGrid>
            <w:gridCol w:w="6210"/>
            <w:gridCol w:w="4590"/>
          </w:tblGrid>
        </w:tblGridChange>
      </w:tblGrid>
      <w:tr>
        <w:trPr>
          <w:cantSplit w:val="0"/>
          <w:tblHeader w:val="0"/>
        </w:trPr>
        <w:tc>
          <w:tcPr>
            <w:shd w:fill="4b773c"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Metrics</w:t>
            </w:r>
          </w:p>
        </w:tc>
        <w:tc>
          <w:tcPr>
            <w:shd w:fill="4b773c" w:val="clear"/>
            <w:tcMar>
              <w:top w:w="100.0" w:type="dxa"/>
              <w:left w:w="100.0" w:type="dxa"/>
              <w:bottom w:w="100.0" w:type="dxa"/>
              <w:right w:w="100.0" w:type="dxa"/>
            </w:tcMar>
            <w:vAlign w:val="top"/>
          </w:tcPr>
          <w:p w:rsidR="00000000" w:rsidDel="00000000" w:rsidP="00000000" w:rsidRDefault="00000000" w:rsidRPr="00000000" w14:paraId="00000011">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Notes</w:t>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2">
            <w:pPr>
              <w:pStyle w:val="Heading2"/>
              <w:spacing w:after="0" w:before="0" w:lineRule="auto"/>
              <w:rPr>
                <w:i w:val="1"/>
                <w:iCs w:val="1"/>
                <w:sz w:val="20"/>
                <w:szCs w:val="20"/>
              </w:rPr>
            </w:pPr>
            <w:bookmarkStart w:colFirst="0" w:colLast="0" w:name="_mh9qvp3zk1hr" w:id="2"/>
            <w:bookmarkEnd w:id="2"/>
            <w:r w:rsidDel="00000000" w:rsidR="00000000" w:rsidRPr="00000000">
              <w:rPr>
                <w:sz w:val="20"/>
                <w:szCs w:val="20"/>
                <w:rtl w:val="0"/>
              </w:rPr>
              <w:t xml:space="preserve">Percentage of households that have access to air conditioning</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013">
            <w:pPr>
              <w:pStyle w:val="Heading2"/>
              <w:spacing w:after="0" w:before="0" w:lineRule="auto"/>
              <w:rPr>
                <w:sz w:val="20"/>
                <w:szCs w:val="20"/>
              </w:rPr>
            </w:pPr>
            <w:bookmarkStart w:colFirst="0" w:colLast="0" w:name="_mh9qvp3zk1hr" w:id="2"/>
            <w:bookmarkEnd w:id="2"/>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4">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Household affordability report, broken down by demographic data</w:t>
            </w:r>
          </w:p>
        </w:tc>
        <w:tc>
          <w:tcPr>
            <w:vMerge w:val="continue"/>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6">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Number of people living unsheltered</w:t>
            </w:r>
          </w:p>
        </w:tc>
        <w:tc>
          <w:tcPr>
            <w:vMerge w:val="continue"/>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bl>
    <w:p w:rsidR="00000000" w:rsidDel="00000000" w:rsidP="00000000" w:rsidRDefault="00000000" w:rsidRPr="00000000" w14:paraId="00000018">
      <w:pPr>
        <w:rPr>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6225"/>
        <w:tblGridChange w:id="0">
          <w:tblGrid>
            <w:gridCol w:w="4575"/>
            <w:gridCol w:w="6225"/>
          </w:tblGrid>
        </w:tblGridChange>
      </w:tblGrid>
      <w:tr>
        <w:trPr>
          <w:cantSplit w:val="0"/>
          <w:tblHeader w:val="0"/>
        </w:trPr>
        <w:tc>
          <w:tcPr>
            <w:shd w:fill="2e6196" w:val="clear"/>
            <w:tcMar>
              <w:top w:w="100.0" w:type="dxa"/>
              <w:left w:w="100.0" w:type="dxa"/>
              <w:bottom w:w="100.0" w:type="dxa"/>
              <w:right w:w="100.0" w:type="dxa"/>
            </w:tcMar>
            <w:vAlign w:val="top"/>
          </w:tcPr>
          <w:p w:rsidR="00000000" w:rsidDel="00000000" w:rsidP="00000000" w:rsidRDefault="00000000" w:rsidRPr="00000000" w14:paraId="00000019">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Strategies</w:t>
            </w:r>
          </w:p>
        </w:tc>
        <w:tc>
          <w:tcPr>
            <w:shd w:fill="2e6196" w:val="clear"/>
            <w:tcMar>
              <w:top w:w="100.0" w:type="dxa"/>
              <w:left w:w="100.0" w:type="dxa"/>
              <w:bottom w:w="100.0" w:type="dxa"/>
              <w:right w:w="100.0" w:type="dxa"/>
            </w:tcMar>
            <w:vAlign w:val="top"/>
          </w:tcPr>
          <w:p w:rsidR="00000000" w:rsidDel="00000000" w:rsidP="00000000" w:rsidRDefault="00000000" w:rsidRPr="00000000" w14:paraId="0000001A">
            <w:pPr>
              <w:pStyle w:val="Heading2"/>
              <w:spacing w:after="0" w:before="0" w:lineRule="auto"/>
              <w:rPr>
                <w:b w:val="1"/>
                <w:bCs w:val="1"/>
                <w:color w:val="ffffff"/>
                <w:sz w:val="24"/>
                <w:szCs w:val="24"/>
              </w:rPr>
            </w:pPr>
            <w:bookmarkStart w:colFirst="0" w:colLast="0" w:name="_mfgftigjn6kc" w:id="4"/>
            <w:bookmarkEnd w:id="4"/>
            <w:r w:rsidDel="00000000" w:rsidR="00000000" w:rsidRPr="00000000">
              <w:rPr>
                <w:b w:val="1"/>
                <w:bCs w:val="1"/>
                <w:color w:val="ffffff"/>
                <w:sz w:val="24"/>
                <w:szCs w:val="24"/>
                <w:rtl w:val="0"/>
              </w:rPr>
              <w:t xml:space="preserve">Description</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B">
            <w:pPr>
              <w:pStyle w:val="Heading2"/>
              <w:spacing w:after="100" w:before="0" w:lineRule="auto"/>
              <w:rPr>
                <w:sz w:val="20"/>
                <w:szCs w:val="20"/>
              </w:rPr>
            </w:pPr>
            <w:bookmarkStart w:colFirst="0" w:colLast="0" w:name="_2m2uksw52mgn" w:id="5"/>
            <w:bookmarkEnd w:id="5"/>
            <w:r w:rsidDel="00000000" w:rsidR="00000000" w:rsidRPr="00000000">
              <w:rPr>
                <w:sz w:val="20"/>
                <w:szCs w:val="20"/>
                <w:rtl w:val="0"/>
              </w:rPr>
              <w:t xml:space="preserve">Promote homeownership, financial literacy and access to home maintenance resources.</w:t>
            </w:r>
          </w:p>
          <w:p w:rsidR="00000000" w:rsidDel="00000000" w:rsidP="00000000" w:rsidRDefault="00000000" w:rsidRPr="00000000" w14:paraId="0000001C">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D">
            <w:pPr>
              <w:pStyle w:val="Heading2"/>
              <w:spacing w:after="0" w:before="0" w:lineRule="auto"/>
              <w:rPr>
                <w:sz w:val="16"/>
                <w:szCs w:val="16"/>
              </w:rPr>
            </w:pPr>
            <w:bookmarkStart w:colFirst="0" w:colLast="0" w:name="_6e6nqfb9bijr" w:id="3"/>
            <w:bookmarkEnd w:id="3"/>
            <w:r w:rsidDel="00000000" w:rsidR="00000000" w:rsidRPr="00000000">
              <w:rPr>
                <w:sz w:val="16"/>
                <w:szCs w:val="16"/>
                <w:rtl w:val="0"/>
              </w:rPr>
              <w:t xml:space="preserve">Based on an assessment of program needs, identify funding sources to expand the reach of existing programs.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E">
            <w:pPr>
              <w:pStyle w:val="Heading2"/>
              <w:spacing w:after="100" w:before="0" w:lineRule="auto"/>
              <w:rPr>
                <w:sz w:val="20"/>
                <w:szCs w:val="20"/>
              </w:rPr>
            </w:pPr>
            <w:bookmarkStart w:colFirst="0" w:colLast="0" w:name="_okdrgreabuf" w:id="6"/>
            <w:bookmarkEnd w:id="6"/>
            <w:r w:rsidDel="00000000" w:rsidR="00000000" w:rsidRPr="00000000">
              <w:rPr>
                <w:sz w:val="20"/>
                <w:szCs w:val="20"/>
                <w:rtl w:val="0"/>
              </w:rPr>
              <w:t xml:space="preserve">Increase funding for Individual Development Account (IDA) program savings, including in support of multigenerational housing.</w:t>
            </w:r>
          </w:p>
          <w:p w:rsidR="00000000" w:rsidDel="00000000" w:rsidP="00000000" w:rsidRDefault="00000000" w:rsidRPr="00000000" w14:paraId="0000001F">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0">
            <w:pPr>
              <w:pStyle w:val="Heading2"/>
              <w:spacing w:after="0" w:before="0" w:lineRule="auto"/>
              <w:rPr>
                <w:sz w:val="16"/>
                <w:szCs w:val="16"/>
              </w:rPr>
            </w:pPr>
            <w:bookmarkStart w:colFirst="0" w:colLast="0" w:name="_mfdd6e44hq6v" w:id="7"/>
            <w:bookmarkEnd w:id="7"/>
            <w:r w:rsidDel="00000000" w:rsidR="00000000" w:rsidRPr="00000000">
              <w:rPr>
                <w:sz w:val="16"/>
                <w:szCs w:val="16"/>
                <w:rtl w:val="0"/>
              </w:rPr>
              <w:t xml:space="preserve">Based on an assessment of program needs, identify funding sources to expand the reach of existing programs, including state budget/legislative pathways.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1">
            <w:pPr>
              <w:pStyle w:val="Heading2"/>
              <w:spacing w:after="100" w:before="0" w:lineRule="auto"/>
              <w:rPr>
                <w:sz w:val="20"/>
                <w:szCs w:val="20"/>
              </w:rPr>
            </w:pPr>
            <w:bookmarkStart w:colFirst="0" w:colLast="0" w:name="_yyrm69ytvr6j" w:id="8"/>
            <w:bookmarkEnd w:id="8"/>
            <w:r w:rsidDel="00000000" w:rsidR="00000000" w:rsidRPr="00000000">
              <w:rPr>
                <w:sz w:val="20"/>
                <w:szCs w:val="20"/>
                <w:rtl w:val="0"/>
              </w:rPr>
              <w:t xml:space="preserve">Develop more permanently affordable housing.</w:t>
            </w:r>
          </w:p>
          <w:p w:rsidR="00000000" w:rsidDel="00000000" w:rsidP="00000000" w:rsidRDefault="00000000" w:rsidRPr="00000000" w14:paraId="00000022">
            <w:pPr>
              <w:spacing w:line="240" w:lineRule="auto"/>
              <w:rPr>
                <w:i w:val="1"/>
                <w:iCs w:val="1"/>
                <w:sz w:val="20"/>
                <w:szCs w:val="20"/>
              </w:rPr>
            </w:pPr>
            <w:r w:rsidDel="00000000" w:rsidR="00000000" w:rsidRPr="00000000">
              <w:rPr>
                <w:i w:val="1"/>
                <w:iCs w:val="1"/>
                <w:sz w:val="16"/>
                <w:szCs w:val="16"/>
                <w:rtl w:val="0"/>
              </w:rPr>
              <w:t xml:space="preserve">Type of action: Create/fund program;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3">
            <w:pPr>
              <w:pStyle w:val="Heading2"/>
              <w:spacing w:after="0" w:before="0" w:lineRule="auto"/>
              <w:rPr>
                <w:sz w:val="16"/>
                <w:szCs w:val="16"/>
              </w:rPr>
            </w:pPr>
            <w:bookmarkStart w:colFirst="0" w:colLast="0" w:name="_lvcyv1a2fktu" w:id="9"/>
            <w:bookmarkEnd w:id="9"/>
            <w:r w:rsidDel="00000000" w:rsidR="00000000" w:rsidRPr="00000000">
              <w:rPr>
                <w:sz w:val="16"/>
                <w:szCs w:val="16"/>
                <w:rtl w:val="0"/>
              </w:rPr>
              <w:t xml:space="preserve">Advocate for additional funding and regulatory changes to accelerate and increase the number of permanently affordable housing units in Multnomah County, while supporting compact communities by maintaining the urban growth boundary.</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4">
            <w:pPr>
              <w:pStyle w:val="Heading2"/>
              <w:spacing w:after="100" w:before="0" w:lineRule="auto"/>
              <w:rPr>
                <w:sz w:val="20"/>
                <w:szCs w:val="20"/>
              </w:rPr>
            </w:pPr>
            <w:bookmarkStart w:colFirst="0" w:colLast="0" w:name="_hve4gwhznsv3" w:id="10"/>
            <w:bookmarkEnd w:id="10"/>
            <w:r w:rsidDel="00000000" w:rsidR="00000000" w:rsidRPr="00000000">
              <w:rPr>
                <w:sz w:val="20"/>
                <w:szCs w:val="20"/>
                <w:rtl w:val="0"/>
              </w:rPr>
              <w:t xml:space="preserve">Fully fund rent assistance.</w:t>
            </w:r>
          </w:p>
          <w:p w:rsidR="00000000" w:rsidDel="00000000" w:rsidP="00000000" w:rsidRDefault="00000000" w:rsidRPr="00000000" w14:paraId="00000025">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pStyle w:val="Heading2"/>
              <w:spacing w:after="0" w:before="0" w:lineRule="auto"/>
              <w:rPr>
                <w:sz w:val="16"/>
                <w:szCs w:val="16"/>
              </w:rPr>
            </w:pPr>
            <w:bookmarkStart w:colFirst="0" w:colLast="0" w:name="_veddkv97ec65" w:id="11"/>
            <w:bookmarkEnd w:id="11"/>
            <w:r w:rsidDel="00000000" w:rsidR="00000000" w:rsidRPr="00000000">
              <w:rPr>
                <w:sz w:val="16"/>
                <w:szCs w:val="16"/>
                <w:rtl w:val="0"/>
              </w:rPr>
              <w:t xml:space="preserve">Based on an assessment of program needs, identify funding sources to expand the amount and reach of existing programs.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7">
            <w:pPr>
              <w:pStyle w:val="Heading2"/>
              <w:spacing w:after="100" w:before="0" w:lineRule="auto"/>
              <w:rPr>
                <w:sz w:val="20"/>
                <w:szCs w:val="20"/>
              </w:rPr>
            </w:pPr>
            <w:bookmarkStart w:colFirst="0" w:colLast="0" w:name="_ski2wc42ybv3" w:id="12"/>
            <w:bookmarkEnd w:id="12"/>
            <w:r w:rsidDel="00000000" w:rsidR="00000000" w:rsidRPr="00000000">
              <w:rPr>
                <w:sz w:val="20"/>
                <w:szCs w:val="20"/>
                <w:rtl w:val="0"/>
              </w:rPr>
              <w:t xml:space="preserve">Increase funding for culturally specific weatherization and home repair programs.</w:t>
            </w:r>
          </w:p>
          <w:p w:rsidR="00000000" w:rsidDel="00000000" w:rsidP="00000000" w:rsidRDefault="00000000" w:rsidRPr="00000000" w14:paraId="00000028">
            <w:pPr>
              <w:spacing w:line="240" w:lineRule="auto"/>
              <w:rPr>
                <w:i w:val="1"/>
                <w:iCs w:val="1"/>
                <w:sz w:val="20"/>
                <w:szCs w:val="20"/>
              </w:rPr>
            </w:pPr>
            <w:r w:rsidDel="00000000" w:rsidR="00000000" w:rsidRPr="00000000">
              <w:rPr>
                <w:i w:val="1"/>
                <w:iCs w:val="1"/>
                <w:sz w:val="16"/>
                <w:szCs w:val="16"/>
                <w:rtl w:val="0"/>
              </w:rPr>
              <w:t xml:space="preserve">Type of action: Create/fund program;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9">
            <w:pPr>
              <w:pStyle w:val="Heading2"/>
              <w:spacing w:after="0" w:before="0" w:lineRule="auto"/>
              <w:rPr>
                <w:sz w:val="16"/>
                <w:szCs w:val="16"/>
              </w:rPr>
            </w:pPr>
            <w:bookmarkStart w:colFirst="0" w:colLast="0" w:name="_ni2hstxtpovz" w:id="13"/>
            <w:bookmarkEnd w:id="13"/>
            <w:r w:rsidDel="00000000" w:rsidR="00000000" w:rsidRPr="00000000">
              <w:rPr>
                <w:sz w:val="16"/>
                <w:szCs w:val="16"/>
                <w:rtl w:val="0"/>
              </w:rPr>
              <w:t xml:space="preserve">Pursue funding to expand the reach of the County’s low-income weatherization and home repair programs; partner with the state and local partners to leverage efforts and ensure that households with the greatest need are prioritized.</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A">
            <w:pPr>
              <w:pStyle w:val="Heading2"/>
              <w:spacing w:after="100" w:before="0" w:lineRule="auto"/>
              <w:rPr>
                <w:sz w:val="20"/>
                <w:szCs w:val="20"/>
              </w:rPr>
            </w:pPr>
            <w:bookmarkStart w:colFirst="0" w:colLast="0" w:name="_rrpx3ndp13rl" w:id="14"/>
            <w:bookmarkEnd w:id="14"/>
            <w:r w:rsidDel="00000000" w:rsidR="00000000" w:rsidRPr="00000000">
              <w:rPr>
                <w:sz w:val="20"/>
                <w:szCs w:val="20"/>
                <w:rtl w:val="0"/>
              </w:rPr>
              <w:t xml:space="preserve">Strengthen renter protections, including expanding beyond a solely complaints based system.</w:t>
            </w:r>
          </w:p>
          <w:p w:rsidR="00000000" w:rsidDel="00000000" w:rsidP="00000000" w:rsidRDefault="00000000" w:rsidRPr="00000000" w14:paraId="0000002B">
            <w:pPr>
              <w:spacing w:line="240" w:lineRule="auto"/>
              <w:rPr>
                <w:i w:val="1"/>
                <w:iCs w:val="1"/>
                <w:sz w:val="20"/>
                <w:szCs w:val="20"/>
              </w:rPr>
            </w:pPr>
            <w:r w:rsidDel="00000000" w:rsidR="00000000" w:rsidRPr="00000000">
              <w:rPr>
                <w:i w:val="1"/>
                <w:iCs w:val="1"/>
                <w:sz w:val="16"/>
                <w:szCs w:val="16"/>
                <w:rtl w:val="0"/>
              </w:rPr>
              <w:t xml:space="preserve">Type of action: Game changer; Governance/Third space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C">
            <w:pPr>
              <w:pStyle w:val="Heading2"/>
              <w:spacing w:after="0" w:before="0" w:lineRule="auto"/>
              <w:rPr>
                <w:sz w:val="16"/>
                <w:szCs w:val="16"/>
              </w:rPr>
            </w:pPr>
            <w:bookmarkStart w:colFirst="0" w:colLast="0" w:name="_z1kii9s00y6c" w:id="15"/>
            <w:bookmarkEnd w:id="15"/>
            <w:r w:rsidDel="00000000" w:rsidR="00000000" w:rsidRPr="00000000">
              <w:rPr>
                <w:sz w:val="16"/>
                <w:szCs w:val="16"/>
                <w:rtl w:val="0"/>
              </w:rPr>
              <w:t xml:space="preserve">Convene broad partnership to consider alternative approaches to renter protections that help promote household health and stability. Consider pathways such as mandatory rental inspection programs/standards and rental housing adjudication pathways that protect renters and property owners.</w:t>
            </w:r>
          </w:p>
          <w:p w:rsidR="00000000" w:rsidDel="00000000" w:rsidP="00000000" w:rsidRDefault="00000000" w:rsidRPr="00000000" w14:paraId="0000002D">
            <w:pPr>
              <w:pStyle w:val="Heading2"/>
              <w:spacing w:after="0" w:before="0" w:lineRule="auto"/>
              <w:rPr>
                <w:sz w:val="16"/>
                <w:szCs w:val="16"/>
              </w:rPr>
            </w:pPr>
            <w:bookmarkStart w:colFirst="0" w:colLast="0" w:name="_ixzksg4on3ga" w:id="16"/>
            <w:bookmarkEnd w:id="16"/>
            <w:r w:rsidDel="00000000" w:rsidR="00000000" w:rsidRPr="00000000">
              <w:rPr>
                <w:rtl w:val="0"/>
              </w:rPr>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E">
            <w:pPr>
              <w:pStyle w:val="Heading2"/>
              <w:spacing w:after="100" w:before="0" w:lineRule="auto"/>
              <w:rPr>
                <w:sz w:val="20"/>
                <w:szCs w:val="20"/>
              </w:rPr>
            </w:pPr>
            <w:bookmarkStart w:colFirst="0" w:colLast="0" w:name="_ihv0j1z0r0e0" w:id="17"/>
            <w:bookmarkEnd w:id="17"/>
            <w:r w:rsidDel="00000000" w:rsidR="00000000" w:rsidRPr="00000000">
              <w:rPr>
                <w:sz w:val="20"/>
                <w:szCs w:val="20"/>
                <w:rtl w:val="0"/>
              </w:rPr>
              <w:t xml:space="preserve">Promote sustainable building practices, including design that integrates housing into the environment. Support EV access through charging requirements.</w:t>
            </w:r>
          </w:p>
          <w:p w:rsidR="00000000" w:rsidDel="00000000" w:rsidP="00000000" w:rsidRDefault="00000000" w:rsidRPr="00000000" w14:paraId="0000002F">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pStyle w:val="Heading2"/>
              <w:spacing w:after="0" w:before="0" w:lineRule="auto"/>
              <w:rPr>
                <w:sz w:val="16"/>
                <w:szCs w:val="16"/>
              </w:rPr>
            </w:pPr>
            <w:bookmarkStart w:colFirst="0" w:colLast="0" w:name="_5zc81skhc597" w:id="18"/>
            <w:bookmarkEnd w:id="18"/>
            <w:r w:rsidDel="00000000" w:rsidR="00000000" w:rsidRPr="00000000">
              <w:rPr>
                <w:sz w:val="16"/>
                <w:szCs w:val="16"/>
                <w:rtl w:val="0"/>
              </w:rPr>
              <w:t xml:space="preserve">Advocate for building codes and design requirements at the state level that improve over time to address climate and livability goals. Explicitly consider public health in development, particularly housing. Advocate for the ability of local governments to use the state’s Reach Codes as the local energy code. Strengthen existing state and local EV requirements.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1">
            <w:pPr>
              <w:pStyle w:val="Heading2"/>
              <w:spacing w:after="100" w:before="0" w:lineRule="auto"/>
              <w:rPr>
                <w:sz w:val="20"/>
                <w:szCs w:val="20"/>
              </w:rPr>
            </w:pPr>
            <w:bookmarkStart w:colFirst="0" w:colLast="0" w:name="_7z6lgpggirs3" w:id="19"/>
            <w:bookmarkEnd w:id="19"/>
            <w:r w:rsidDel="00000000" w:rsidR="00000000" w:rsidRPr="00000000">
              <w:rPr>
                <w:sz w:val="20"/>
                <w:szCs w:val="20"/>
                <w:rtl w:val="0"/>
              </w:rPr>
              <w:t xml:space="preserve">Prohibit industrial and toxic operations, including distribution centers and manufacturing facilities, from being developed near affordable housing and/or areas with disproportionately high BIPOC communities. </w:t>
            </w:r>
          </w:p>
          <w:p w:rsidR="00000000" w:rsidDel="00000000" w:rsidP="00000000" w:rsidRDefault="00000000" w:rsidRPr="00000000" w14:paraId="00000032">
            <w:pPr>
              <w:spacing w:line="240" w:lineRule="auto"/>
              <w:rPr>
                <w:i w:val="1"/>
                <w:iCs w:val="1"/>
                <w:sz w:val="20"/>
                <w:szCs w:val="20"/>
              </w:rPr>
            </w:pPr>
            <w:r w:rsidDel="00000000" w:rsidR="00000000" w:rsidRPr="00000000">
              <w:rPr>
                <w:i w:val="1"/>
                <w:iCs w:val="1"/>
                <w:sz w:val="16"/>
                <w:szCs w:val="16"/>
                <w:rtl w:val="0"/>
              </w:rPr>
              <w:t xml:space="preserve">Type of action: Advocacy; County Policy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pStyle w:val="Heading2"/>
              <w:spacing w:after="0" w:before="0" w:lineRule="auto"/>
              <w:rPr>
                <w:sz w:val="16"/>
                <w:szCs w:val="16"/>
              </w:rPr>
            </w:pPr>
            <w:bookmarkStart w:colFirst="0" w:colLast="0" w:name="_cqjjkjv8p0lf" w:id="20"/>
            <w:bookmarkEnd w:id="20"/>
            <w:r w:rsidDel="00000000" w:rsidR="00000000" w:rsidRPr="00000000">
              <w:rPr>
                <w:sz w:val="16"/>
                <w:szCs w:val="16"/>
                <w:rtl w:val="0"/>
              </w:rPr>
              <w:t xml:space="preserve">Develop and pursue strategies, including local public health authority, that address siting and development conflicts between polluting facilities/operations and affordable housing communities.</w:t>
            </w:r>
          </w:p>
          <w:p w:rsidR="00000000" w:rsidDel="00000000" w:rsidP="00000000" w:rsidRDefault="00000000" w:rsidRPr="00000000" w14:paraId="00000034">
            <w:pPr>
              <w:pStyle w:val="Heading2"/>
              <w:spacing w:after="0" w:before="0" w:lineRule="auto"/>
              <w:rPr>
                <w:sz w:val="16"/>
                <w:szCs w:val="16"/>
              </w:rPr>
            </w:pPr>
            <w:bookmarkStart w:colFirst="0" w:colLast="0" w:name="_2wzyidnrd2n" w:id="21"/>
            <w:bookmarkEnd w:id="21"/>
            <w:r w:rsidDel="00000000" w:rsidR="00000000" w:rsidRPr="00000000">
              <w:rPr>
                <w:rtl w:val="0"/>
              </w:rPr>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5">
            <w:pPr>
              <w:pStyle w:val="Heading2"/>
              <w:spacing w:after="100" w:before="0" w:lineRule="auto"/>
              <w:rPr>
                <w:sz w:val="20"/>
                <w:szCs w:val="20"/>
              </w:rPr>
            </w:pPr>
            <w:bookmarkStart w:colFirst="0" w:colLast="0" w:name="_bauz0x6aksgf" w:id="22"/>
            <w:bookmarkEnd w:id="22"/>
            <w:r w:rsidDel="00000000" w:rsidR="00000000" w:rsidRPr="00000000">
              <w:rPr>
                <w:sz w:val="20"/>
                <w:szCs w:val="20"/>
                <w:rtl w:val="0"/>
              </w:rPr>
              <w:t xml:space="preserve">Support zoning and design reforms and incentives to increase density and social housing developments, including the Inner East Side for All Initiative. This includes neighborhoods that are designed to foster community by embedding community gardens, affordable small business spaces, etc. </w:t>
            </w:r>
          </w:p>
          <w:p w:rsidR="00000000" w:rsidDel="00000000" w:rsidP="00000000" w:rsidRDefault="00000000" w:rsidRPr="00000000" w14:paraId="00000036">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7">
            <w:pPr>
              <w:pStyle w:val="Heading2"/>
              <w:spacing w:after="0" w:before="0" w:lineRule="auto"/>
              <w:rPr>
                <w:sz w:val="16"/>
                <w:szCs w:val="16"/>
              </w:rPr>
            </w:pPr>
            <w:bookmarkStart w:colFirst="0" w:colLast="0" w:name="_fi8mtw8g83xh" w:id="23"/>
            <w:bookmarkEnd w:id="23"/>
            <w:r w:rsidDel="00000000" w:rsidR="00000000" w:rsidRPr="00000000">
              <w:rPr>
                <w:sz w:val="16"/>
                <w:szCs w:val="16"/>
                <w:rtl w:val="0"/>
              </w:rPr>
              <w:t xml:space="preserve">While Multnomah County has limited jurisdictional control of the design of urban areas, it can influence these predominantly city-level decisions through research, including the alignment of community design and public health, and can advocate for strengthened standards. It is also important to recognize the nexus of community development and transportation planning and funding, which are often decisions made at regional government Metro. </w:t>
            </w:r>
          </w:p>
          <w:p w:rsidR="00000000" w:rsidDel="00000000" w:rsidP="00000000" w:rsidRDefault="00000000" w:rsidRPr="00000000" w14:paraId="00000038">
            <w:pPr>
              <w:pStyle w:val="Heading2"/>
              <w:spacing w:after="0" w:before="0" w:lineRule="auto"/>
              <w:rPr>
                <w:sz w:val="16"/>
                <w:szCs w:val="16"/>
              </w:rPr>
            </w:pPr>
            <w:bookmarkStart w:colFirst="0" w:colLast="0" w:name="_36hpr9bm8d61" w:id="24"/>
            <w:bookmarkEnd w:id="24"/>
            <w:r w:rsidDel="00000000" w:rsidR="00000000" w:rsidRPr="00000000">
              <w:rPr>
                <w:rtl w:val="0"/>
              </w:rPr>
            </w:r>
          </w:p>
          <w:p w:rsidR="00000000" w:rsidDel="00000000" w:rsidP="00000000" w:rsidRDefault="00000000" w:rsidRPr="00000000" w14:paraId="00000039">
            <w:pPr>
              <w:pStyle w:val="Heading2"/>
              <w:spacing w:after="0" w:before="0" w:lineRule="auto"/>
              <w:rPr>
                <w:sz w:val="16"/>
                <w:szCs w:val="16"/>
              </w:rPr>
            </w:pPr>
            <w:bookmarkStart w:colFirst="0" w:colLast="0" w:name="_tsmehgdjdgok" w:id="25"/>
            <w:bookmarkEnd w:id="25"/>
            <w:r w:rsidDel="00000000" w:rsidR="00000000" w:rsidRPr="00000000">
              <w:rPr>
                <w:rtl w:val="0"/>
              </w:rPr>
            </w:r>
          </w:p>
        </w:tc>
      </w:tr>
    </w:tbl>
    <w:p w:rsidR="00000000" w:rsidDel="00000000" w:rsidP="00000000" w:rsidRDefault="00000000" w:rsidRPr="00000000" w14:paraId="0000003A">
      <w:pPr>
        <w:rPr>
          <w:sz w:val="2"/>
          <w:szCs w:val="2"/>
        </w:rPr>
      </w:pPr>
      <w:r w:rsidDel="00000000" w:rsidR="00000000" w:rsidRPr="00000000">
        <w:rPr>
          <w:rtl w:val="0"/>
        </w:rPr>
      </w:r>
    </w:p>
    <w:tbl>
      <w:tblPr>
        <w:tblStyle w:val="Table6"/>
        <w:tblW w:w="10800.0" w:type="dxa"/>
        <w:jc w:val="left"/>
        <w:tblInd w:w="1.4210854715202004E-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B">
            <w:pPr>
              <w:pStyle w:val="Heading2"/>
              <w:spacing w:after="0" w:before="0" w:lineRule="auto"/>
              <w:rPr>
                <w:b w:val="1"/>
                <w:bCs w:val="1"/>
                <w:sz w:val="24"/>
                <w:szCs w:val="24"/>
              </w:rPr>
            </w:pPr>
            <w:bookmarkStart w:colFirst="0" w:colLast="0" w:name="_9t8pf56usp56" w:id="26"/>
            <w:bookmarkEnd w:id="26"/>
            <w:r w:rsidDel="00000000" w:rsidR="00000000" w:rsidRPr="00000000">
              <w:rPr>
                <w:b w:val="1"/>
                <w:bCs w:val="1"/>
                <w:sz w:val="24"/>
                <w:szCs w:val="24"/>
                <w:rtl w:val="0"/>
              </w:rPr>
              <w:t xml:space="preserve">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8"/>
                <w:szCs w:val="8"/>
              </w:rPr>
            </w:pPr>
            <w:r w:rsidDel="00000000" w:rsidR="00000000" w:rsidRPr="00000000">
              <w:rPr>
                <w:rtl w:val="0"/>
              </w:rPr>
            </w:r>
          </w:p>
          <w:p w:rsidR="00000000" w:rsidDel="00000000" w:rsidP="00000000" w:rsidRDefault="00000000" w:rsidRPr="00000000" w14:paraId="0000003F">
            <w:pPr>
              <w:rPr>
                <w:sz w:val="8"/>
                <w:szCs w:val="8"/>
              </w:rPr>
            </w:pPr>
            <w:r w:rsidDel="00000000" w:rsidR="00000000" w:rsidRPr="00000000">
              <w:rPr>
                <w:rtl w:val="0"/>
              </w:rPr>
            </w:r>
          </w:p>
          <w:p w:rsidR="00000000" w:rsidDel="00000000" w:rsidP="00000000" w:rsidRDefault="00000000" w:rsidRPr="00000000" w14:paraId="00000040">
            <w:pPr>
              <w:rPr>
                <w:sz w:val="8"/>
                <w:szCs w:val="8"/>
              </w:rPr>
            </w:pPr>
            <w:r w:rsidDel="00000000" w:rsidR="00000000" w:rsidRPr="00000000">
              <w:rPr>
                <w:rtl w:val="0"/>
              </w:rPr>
            </w:r>
          </w:p>
          <w:p w:rsidR="00000000" w:rsidDel="00000000" w:rsidP="00000000" w:rsidRDefault="00000000" w:rsidRPr="00000000" w14:paraId="00000041">
            <w:pPr>
              <w:rPr>
                <w:sz w:val="8"/>
                <w:szCs w:val="8"/>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sectPr>
      <w:headerReference r:id="rId6" w:type="default"/>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ind w:right="0"/>
      <w:jc w:val="right"/>
      <w:rPr>
        <w:sz w:val="12"/>
        <w:szCs w:val="12"/>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Rule="auto"/>
      <w:ind w:left="0" w:firstLine="0"/>
      <w:rPr>
        <w:b w:val="1"/>
        <w:bCs w:val="1"/>
        <w:i w:val="1"/>
        <w:iCs w:val="1"/>
        <w:color w:val="999999"/>
      </w:rPr>
    </w:pPr>
    <w:r w:rsidDel="00000000" w:rsidR="00000000" w:rsidRPr="00000000">
      <w:rPr>
        <w:b w:val="1"/>
        <w:bCs w:val="1"/>
        <w:i w:val="1"/>
        <w:iCs w:val="1"/>
        <w:color w:val="999999"/>
        <w:rtl w:val="0"/>
      </w:rPr>
      <w:t xml:space="preserve">Climate Justice Plan Community Forum | Housing</w:t>
    </w:r>
    <w:r w:rsidDel="00000000" w:rsidR="00000000" w:rsidRPr="00000000">
      <w:drawing>
        <wp:anchor allowOverlap="1" behindDoc="1" distB="114300" distT="114300" distL="114300" distR="114300" hidden="0" layoutInCell="1" locked="0" relativeHeight="0" simplePos="0">
          <wp:simplePos x="0" y="0"/>
          <wp:positionH relativeFrom="column">
            <wp:posOffset>6014085</wp:posOffset>
          </wp:positionH>
          <wp:positionV relativeFrom="paragraph">
            <wp:posOffset>-123824</wp:posOffset>
          </wp:positionV>
          <wp:extent cx="848661" cy="41889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8661" cy="418890"/>
                  </a:xfrm>
                  <a:prstGeom prst="rect"/>
                  <a:ln/>
                </pic:spPr>
              </pic:pic>
            </a:graphicData>
          </a:graphic>
        </wp:anchor>
      </w:drawing>
    </w:r>
  </w:p>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