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rPr>
          <w:b w:val="1"/>
          <w:i w:val="1"/>
          <w:color w:val="999999"/>
        </w:rPr>
      </w:pPr>
      <w:r w:rsidDel="00000000" w:rsidR="00000000" w:rsidRPr="00000000">
        <w:rPr>
          <w:b w:val="1"/>
          <w:i w:val="1"/>
          <w:color w:val="999999"/>
        </w:rPr>
        <w:drawing>
          <wp:anchor allowOverlap="1" behindDoc="1" distB="114300" distT="114300" distL="114300" distR="114300" hidden="0" layoutInCell="1" locked="0" relativeHeight="0" simplePos="0">
            <wp:simplePos x="0" y="0"/>
            <wp:positionH relativeFrom="page">
              <wp:posOffset>6510338</wp:posOffset>
            </wp:positionH>
            <wp:positionV relativeFrom="page">
              <wp:posOffset>152400</wp:posOffset>
            </wp:positionV>
            <wp:extent cx="809625" cy="39416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09625" cy="394160"/>
                    </a:xfrm>
                    <a:prstGeom prst="rect"/>
                    <a:ln/>
                  </pic:spPr>
                </pic:pic>
              </a:graphicData>
            </a:graphic>
          </wp:anchor>
        </w:drawing>
      </w:r>
      <w:r w:rsidDel="00000000" w:rsidR="00000000" w:rsidRPr="00000000">
        <w:rPr>
          <w:b w:val="1"/>
          <w:i w:val="1"/>
          <w:color w:val="999999"/>
          <w:rtl w:val="0"/>
        </w:rPr>
        <w:t xml:space="preserve">Climate Justice Plan Community Forum | Resources</w:t>
      </w:r>
    </w:p>
    <w:p w:rsidR="00000000" w:rsidDel="00000000" w:rsidP="00000000" w:rsidRDefault="00000000" w:rsidRPr="00000000" w14:paraId="00000002">
      <w:pPr>
        <w:spacing w:after="100" w:lineRule="auto"/>
        <w:rPr>
          <w:b w:val="1"/>
          <w:i w:val="1"/>
          <w:color w:val="999999"/>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8430"/>
        <w:tblGridChange w:id="0">
          <w:tblGrid>
            <w:gridCol w:w="2370"/>
            <w:gridCol w:w="8430"/>
          </w:tblGrid>
        </w:tblGridChange>
      </w:tblGrid>
      <w:tr>
        <w:trPr>
          <w:cantSplit w:val="0"/>
          <w:trHeight w:val="44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pStyle w:val="Heading2"/>
              <w:spacing w:after="0" w:before="0" w:lineRule="auto"/>
              <w:rPr>
                <w:b w:val="1"/>
                <w:sz w:val="24"/>
                <w:szCs w:val="24"/>
              </w:rPr>
            </w:pPr>
            <w:bookmarkStart w:colFirst="0" w:colLast="0" w:name="_hjte5rget672" w:id="0"/>
            <w:bookmarkEnd w:id="0"/>
            <w:r w:rsidDel="00000000" w:rsidR="00000000" w:rsidRPr="00000000">
              <w:rPr>
                <w:b w:val="1"/>
                <w:sz w:val="24"/>
                <w:szCs w:val="24"/>
                <w:rtl w:val="0"/>
              </w:rPr>
              <w:t xml:space="preserve">Strategy Analysis Dimensions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5">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Resilience </w:t>
            </w:r>
          </w:p>
        </w:tc>
        <w:tc>
          <w:tcPr>
            <w:tcMar>
              <w:top w:w="100.0" w:type="dxa"/>
              <w:left w:w="100.0" w:type="dxa"/>
              <w:bottom w:w="100.0" w:type="dxa"/>
              <w:right w:w="100.0" w:type="dxa"/>
            </w:tcMar>
            <w:vAlign w:val="top"/>
          </w:tcPr>
          <w:p w:rsidR="00000000" w:rsidDel="00000000" w:rsidP="00000000" w:rsidRDefault="00000000" w:rsidRPr="00000000" w14:paraId="00000006">
            <w:pPr>
              <w:pStyle w:val="Heading2"/>
              <w:spacing w:after="0" w:before="0" w:lineRule="auto"/>
              <w:rPr>
                <w:sz w:val="16"/>
                <w:szCs w:val="16"/>
              </w:rPr>
            </w:pPr>
            <w:bookmarkStart w:colFirst="0" w:colLast="0" w:name="_ci2y47fj40nj" w:id="2"/>
            <w:bookmarkEnd w:id="2"/>
            <w:r w:rsidDel="00000000" w:rsidR="00000000" w:rsidRPr="00000000">
              <w:rPr>
                <w:sz w:val="16"/>
                <w:szCs w:val="16"/>
                <w:rtl w:val="0"/>
              </w:rPr>
              <w:t xml:space="preserve">Resilience is the capacity of the community—its people, institutions, infrastructure, and natural systems—to anticipate, prepare for, respond to, and recover from adverse events, while adapting and thriving in the face of long-term challenges and opportunities.</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7">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Greenhouse Gas Mitigation</w:t>
            </w:r>
          </w:p>
        </w:tc>
        <w:tc>
          <w:tcPr>
            <w:tcMar>
              <w:top w:w="100.0" w:type="dxa"/>
              <w:left w:w="100.0" w:type="dxa"/>
              <w:bottom w:w="100.0" w:type="dxa"/>
              <w:right w:w="100.0" w:type="dxa"/>
            </w:tcMar>
            <w:vAlign w:val="top"/>
          </w:tcPr>
          <w:p w:rsidR="00000000" w:rsidDel="00000000" w:rsidP="00000000" w:rsidRDefault="00000000" w:rsidRPr="00000000" w14:paraId="00000008">
            <w:pPr>
              <w:pStyle w:val="Heading2"/>
              <w:spacing w:after="0" w:before="0" w:lineRule="auto"/>
              <w:rPr>
                <w:sz w:val="16"/>
                <w:szCs w:val="16"/>
              </w:rPr>
            </w:pPr>
            <w:bookmarkStart w:colFirst="0" w:colLast="0" w:name="_exc1jxdc1qwf" w:id="3"/>
            <w:bookmarkEnd w:id="3"/>
            <w:r w:rsidDel="00000000" w:rsidR="00000000" w:rsidRPr="00000000">
              <w:rPr>
                <w:sz w:val="16"/>
                <w:szCs w:val="16"/>
                <w:rtl w:val="0"/>
              </w:rPr>
              <w:t xml:space="preserve">Greenhouse gas mitigation refers to any action taken by governments, businesses, or people to reduce or prevent greenhouse gas emissions, or to enhance carbon sinks that remove these gasses from the atmosphere.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9">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Equity (Benefits &amp; direct impacts)</w:t>
            </w:r>
          </w:p>
        </w:tc>
        <w:tc>
          <w:tcPr>
            <w:tcMar>
              <w:top w:w="100.0" w:type="dxa"/>
              <w:left w:w="100.0" w:type="dxa"/>
              <w:bottom w:w="100.0" w:type="dxa"/>
              <w:right w:w="100.0" w:type="dxa"/>
            </w:tcMar>
            <w:vAlign w:val="top"/>
          </w:tcPr>
          <w:p w:rsidR="00000000" w:rsidDel="00000000" w:rsidP="00000000" w:rsidRDefault="00000000" w:rsidRPr="00000000" w14:paraId="0000000A">
            <w:pPr>
              <w:pStyle w:val="Heading2"/>
              <w:spacing w:after="0" w:before="0" w:lineRule="auto"/>
              <w:rPr>
                <w:sz w:val="16"/>
                <w:szCs w:val="16"/>
              </w:rPr>
            </w:pPr>
            <w:bookmarkStart w:colFirst="0" w:colLast="0" w:name="_a71cz2ld47ii" w:id="4"/>
            <w:bookmarkEnd w:id="4"/>
            <w:r w:rsidDel="00000000" w:rsidR="00000000" w:rsidRPr="00000000">
              <w:rPr>
                <w:sz w:val="16"/>
                <w:szCs w:val="16"/>
                <w:rtl w:val="0"/>
              </w:rPr>
              <w:t xml:space="preserve">Equity recognizes that people’s lives and experiences are often shaped by past and current disparate treatment of individuals and communities based on race, gender, ability and socioeconomic status. Equity seeks to address these differences through intentional processes that ensure everyone has access to opportunities and resources that are tailored to what they need to thrive.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B">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Cost to Government</w:t>
            </w:r>
          </w:p>
        </w:tc>
        <w:tc>
          <w:tcPr>
            <w:tcMar>
              <w:top w:w="100.0" w:type="dxa"/>
              <w:left w:w="100.0" w:type="dxa"/>
              <w:bottom w:w="100.0" w:type="dxa"/>
              <w:right w:w="100.0" w:type="dxa"/>
            </w:tcMar>
            <w:vAlign w:val="top"/>
          </w:tcPr>
          <w:p w:rsidR="00000000" w:rsidDel="00000000" w:rsidP="00000000" w:rsidRDefault="00000000" w:rsidRPr="00000000" w14:paraId="0000000C">
            <w:pPr>
              <w:pStyle w:val="Heading2"/>
              <w:spacing w:after="0" w:before="0" w:lineRule="auto"/>
              <w:rPr>
                <w:sz w:val="16"/>
                <w:szCs w:val="16"/>
              </w:rPr>
            </w:pPr>
            <w:bookmarkStart w:colFirst="0" w:colLast="0" w:name="_lerfqecfj5wj" w:id="5"/>
            <w:bookmarkEnd w:id="5"/>
            <w:r w:rsidDel="00000000" w:rsidR="00000000" w:rsidRPr="00000000">
              <w:rPr>
                <w:sz w:val="16"/>
                <w:szCs w:val="16"/>
                <w:rtl w:val="0"/>
              </w:rPr>
              <w:t xml:space="preserve">Local governments are obligated to adopt budgets that balance revenues and costs, and are intended to reflect the priorities of the community. Costs can be financial, for example hiring new staff and providing community grants, or reflect opportunity costs such as prioritizing one policy/program over another using existing resources. There are opportunities to leverage outside funding or partner resources through collaboration or grants. Both the scale and type of costs are important considerations.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D">
            <w:pPr>
              <w:pStyle w:val="Heading2"/>
              <w:spacing w:after="0" w:before="0" w:lineRule="auto"/>
              <w:rPr>
                <w:i w:val="1"/>
                <w:sz w:val="20"/>
                <w:szCs w:val="20"/>
              </w:rPr>
            </w:pPr>
            <w:bookmarkStart w:colFirst="0" w:colLast="0" w:name="_hcue5yx1b00g" w:id="6"/>
            <w:bookmarkEnd w:id="6"/>
            <w:r w:rsidDel="00000000" w:rsidR="00000000" w:rsidRPr="00000000">
              <w:rPr>
                <w:i w:val="1"/>
                <w:sz w:val="20"/>
                <w:szCs w:val="20"/>
                <w:rtl w:val="0"/>
              </w:rPr>
              <w:t xml:space="preserve">Momentum/Readiness/Context</w:t>
            </w:r>
          </w:p>
        </w:tc>
        <w:tc>
          <w:tcPr>
            <w:tcMar>
              <w:top w:w="100.0" w:type="dxa"/>
              <w:left w:w="100.0" w:type="dxa"/>
              <w:bottom w:w="100.0" w:type="dxa"/>
              <w:right w:w="100.0" w:type="dxa"/>
            </w:tcMar>
            <w:vAlign w:val="top"/>
          </w:tcPr>
          <w:p w:rsidR="00000000" w:rsidDel="00000000" w:rsidP="00000000" w:rsidRDefault="00000000" w:rsidRPr="00000000" w14:paraId="0000000E">
            <w:pPr>
              <w:pStyle w:val="Heading2"/>
              <w:spacing w:after="0" w:before="0" w:lineRule="auto"/>
              <w:rPr>
                <w:sz w:val="16"/>
                <w:szCs w:val="16"/>
              </w:rPr>
            </w:pPr>
            <w:bookmarkStart w:colFirst="0" w:colLast="0" w:name="_z1e86fd4cx8q" w:id="7"/>
            <w:bookmarkEnd w:id="7"/>
            <w:r w:rsidDel="00000000" w:rsidR="00000000" w:rsidRPr="00000000">
              <w:rPr>
                <w:sz w:val="16"/>
                <w:szCs w:val="16"/>
                <w:rtl w:val="0"/>
              </w:rPr>
              <w:t xml:space="preserve">Every strategy should be considered in the context of readiness. Some strategies may align well with efforts that have been underway for years and are supported by a wide coalition. Others may be new efforts that require doing research, gathering best practices, building awareness of an issue and starting to convene interested or impacted parties. The economic and political circumstances are also critical to understanding if and how a strategy is ready to move forward, </w:t>
            </w:r>
          </w:p>
        </w:tc>
      </w:tr>
    </w:tbl>
    <w:p w:rsidR="00000000" w:rsidDel="00000000" w:rsidP="00000000" w:rsidRDefault="00000000" w:rsidRPr="00000000" w14:paraId="0000000F">
      <w:pPr>
        <w:rPr>
          <w:b w:val="1"/>
          <w:sz w:val="8"/>
          <w:szCs w:val="8"/>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9255"/>
        <w:tblGridChange w:id="0">
          <w:tblGrid>
            <w:gridCol w:w="1545"/>
            <w:gridCol w:w="9255"/>
          </w:tblGrid>
        </w:tblGridChange>
      </w:tblGrid>
      <w:tr>
        <w:trPr>
          <w:cantSplit w:val="0"/>
          <w:trHeight w:val="44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0">
            <w:pPr>
              <w:pStyle w:val="Heading2"/>
              <w:spacing w:after="0" w:before="0" w:lineRule="auto"/>
              <w:rPr>
                <w:b w:val="1"/>
                <w:sz w:val="24"/>
                <w:szCs w:val="24"/>
              </w:rPr>
            </w:pPr>
            <w:bookmarkStart w:colFirst="0" w:colLast="0" w:name="_42r0onzgb0sa" w:id="8"/>
            <w:bookmarkEnd w:id="8"/>
            <w:r w:rsidDel="00000000" w:rsidR="00000000" w:rsidRPr="00000000">
              <w:rPr>
                <w:b w:val="1"/>
                <w:sz w:val="24"/>
                <w:szCs w:val="24"/>
                <w:rtl w:val="0"/>
              </w:rPr>
              <w:t xml:space="preserve">SMART Goals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2">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Specific   </w:t>
            </w:r>
          </w:p>
        </w:tc>
        <w:tc>
          <w:tcPr>
            <w:tcMar>
              <w:top w:w="100.0" w:type="dxa"/>
              <w:left w:w="100.0" w:type="dxa"/>
              <w:bottom w:w="100.0" w:type="dxa"/>
              <w:right w:w="100.0" w:type="dxa"/>
            </w:tcMar>
            <w:vAlign w:val="top"/>
          </w:tcPr>
          <w:p w:rsidR="00000000" w:rsidDel="00000000" w:rsidP="00000000" w:rsidRDefault="00000000" w:rsidRPr="00000000" w14:paraId="00000013">
            <w:pPr>
              <w:pStyle w:val="Heading2"/>
              <w:spacing w:after="0" w:before="0" w:lineRule="auto"/>
              <w:rPr>
                <w:sz w:val="16"/>
                <w:szCs w:val="16"/>
              </w:rPr>
            </w:pPr>
            <w:bookmarkStart w:colFirst="0" w:colLast="0" w:name="_ci2y47fj40nj" w:id="2"/>
            <w:bookmarkEnd w:id="2"/>
            <w:r w:rsidDel="00000000" w:rsidR="00000000" w:rsidRPr="00000000">
              <w:rPr>
                <w:sz w:val="16"/>
                <w:szCs w:val="16"/>
                <w:rtl w:val="0"/>
              </w:rPr>
              <w:t xml:space="preserve">A specific goal clearly identifies what is expected, why it is important, who's involved, where it is going to happen, and which resources are involved in its achievement. It answers the 'W' questions: What, Why, Who, Where, and Which.</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4">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Measurable</w:t>
            </w:r>
          </w:p>
        </w:tc>
        <w:tc>
          <w:tcPr>
            <w:tcMar>
              <w:top w:w="100.0" w:type="dxa"/>
              <w:left w:w="100.0" w:type="dxa"/>
              <w:bottom w:w="100.0" w:type="dxa"/>
              <w:right w:w="100.0" w:type="dxa"/>
            </w:tcMar>
            <w:vAlign w:val="top"/>
          </w:tcPr>
          <w:p w:rsidR="00000000" w:rsidDel="00000000" w:rsidP="00000000" w:rsidRDefault="00000000" w:rsidRPr="00000000" w14:paraId="00000015">
            <w:pPr>
              <w:pStyle w:val="Heading2"/>
              <w:spacing w:after="0" w:before="0" w:lineRule="auto"/>
              <w:rPr>
                <w:sz w:val="16"/>
                <w:szCs w:val="16"/>
              </w:rPr>
            </w:pPr>
            <w:bookmarkStart w:colFirst="0" w:colLast="0" w:name="_ci2y47fj40nj" w:id="2"/>
            <w:bookmarkEnd w:id="2"/>
            <w:r w:rsidDel="00000000" w:rsidR="00000000" w:rsidRPr="00000000">
              <w:rPr>
                <w:sz w:val="16"/>
                <w:szCs w:val="16"/>
                <w:rtl w:val="0"/>
              </w:rPr>
              <w:t xml:space="preserve">Goals should be measurable so that there is tangible evidence that you have accomplished the goal. They should answer questions like: How much? How many? How will I know when it is accomplished?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6">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Attainable</w:t>
            </w:r>
          </w:p>
        </w:tc>
        <w:tc>
          <w:tcPr>
            <w:tcMar>
              <w:top w:w="100.0" w:type="dxa"/>
              <w:left w:w="100.0" w:type="dxa"/>
              <w:bottom w:w="100.0" w:type="dxa"/>
              <w:right w:w="100.0" w:type="dxa"/>
            </w:tcMar>
            <w:vAlign w:val="top"/>
          </w:tcPr>
          <w:p w:rsidR="00000000" w:rsidDel="00000000" w:rsidP="00000000" w:rsidRDefault="00000000" w:rsidRPr="00000000" w14:paraId="00000017">
            <w:pPr>
              <w:pStyle w:val="Heading2"/>
              <w:spacing w:after="0" w:before="0" w:lineRule="auto"/>
              <w:rPr>
                <w:sz w:val="16"/>
                <w:szCs w:val="16"/>
              </w:rPr>
            </w:pPr>
            <w:bookmarkStart w:colFirst="0" w:colLast="0" w:name="_ci2y47fj40nj" w:id="2"/>
            <w:bookmarkEnd w:id="2"/>
            <w:r w:rsidDel="00000000" w:rsidR="00000000" w:rsidRPr="00000000">
              <w:rPr>
                <w:sz w:val="16"/>
                <w:szCs w:val="16"/>
                <w:rtl w:val="0"/>
              </w:rPr>
              <w:t xml:space="preserve">Goals should be achievable; they should stretch you slightly so you feel challenged, but defined well enough that you can achieve them. An achievable goal will usually answer the question: How can I accomplish this goal?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8">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Relevant</w:t>
            </w:r>
          </w:p>
        </w:tc>
        <w:tc>
          <w:tcPr>
            <w:tcMar>
              <w:top w:w="100.0" w:type="dxa"/>
              <w:left w:w="100.0" w:type="dxa"/>
              <w:bottom w:w="100.0" w:type="dxa"/>
              <w:right w:w="100.0" w:type="dxa"/>
            </w:tcMar>
            <w:vAlign w:val="top"/>
          </w:tcPr>
          <w:p w:rsidR="00000000" w:rsidDel="00000000" w:rsidP="00000000" w:rsidRDefault="00000000" w:rsidRPr="00000000" w14:paraId="00000019">
            <w:pPr>
              <w:pStyle w:val="Heading2"/>
              <w:spacing w:after="0" w:before="0" w:lineRule="auto"/>
              <w:rPr>
                <w:sz w:val="16"/>
                <w:szCs w:val="16"/>
              </w:rPr>
            </w:pPr>
            <w:bookmarkStart w:colFirst="0" w:colLast="0" w:name="_ci2y47fj40nj" w:id="2"/>
            <w:bookmarkEnd w:id="2"/>
            <w:r w:rsidDel="00000000" w:rsidR="00000000" w:rsidRPr="00000000">
              <w:rPr>
                <w:sz w:val="16"/>
                <w:szCs w:val="16"/>
                <w:rtl w:val="0"/>
              </w:rPr>
              <w:t xml:space="preserve">A relevant goal can answer yes to these questions: Does this seem worthwhile? Is this the right time? Does this match our other efforts and needs?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A">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Timely</w:t>
            </w:r>
          </w:p>
        </w:tc>
        <w:tc>
          <w:tcPr>
            <w:tcMar>
              <w:top w:w="100.0" w:type="dxa"/>
              <w:left w:w="100.0" w:type="dxa"/>
              <w:bottom w:w="100.0" w:type="dxa"/>
              <w:right w:w="100.0" w:type="dxa"/>
            </w:tcMar>
            <w:vAlign w:val="top"/>
          </w:tcPr>
          <w:p w:rsidR="00000000" w:rsidDel="00000000" w:rsidP="00000000" w:rsidRDefault="00000000" w:rsidRPr="00000000" w14:paraId="0000001B">
            <w:pPr>
              <w:pStyle w:val="Heading2"/>
              <w:spacing w:after="0" w:before="0" w:lineRule="auto"/>
              <w:rPr>
                <w:sz w:val="16"/>
                <w:szCs w:val="16"/>
              </w:rPr>
            </w:pPr>
            <w:bookmarkStart w:colFirst="0" w:colLast="0" w:name="_aokfdjittykw" w:id="9"/>
            <w:bookmarkEnd w:id="9"/>
            <w:r w:rsidDel="00000000" w:rsidR="00000000" w:rsidRPr="00000000">
              <w:rPr>
                <w:sz w:val="16"/>
                <w:szCs w:val="16"/>
                <w:rtl w:val="0"/>
              </w:rPr>
              <w:t xml:space="preserve">Goals should be time-bound. This means that they have a start and finish date. </w:t>
            </w:r>
          </w:p>
        </w:tc>
      </w:tr>
    </w:tbl>
    <w:p w:rsidR="00000000" w:rsidDel="00000000" w:rsidP="00000000" w:rsidRDefault="00000000" w:rsidRPr="00000000" w14:paraId="0000001C">
      <w:pPr>
        <w:rPr>
          <w:b w:val="1"/>
          <w:sz w:val="8"/>
          <w:szCs w:val="8"/>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D">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bookmarkStart w:colFirst="0" w:colLast="0" w:name="_njhj8mefdrt4" w:id="10"/>
            <w:bookmarkEnd w:id="10"/>
            <w:r w:rsidDel="00000000" w:rsidR="00000000" w:rsidRPr="00000000">
              <w:rPr>
                <w:b w:val="1"/>
                <w:sz w:val="24"/>
                <w:szCs w:val="24"/>
                <w:rtl w:val="0"/>
              </w:rPr>
              <w:t xml:space="preserve">Guiding Questions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left="0" w:firstLine="0"/>
              <w:rPr>
                <w:sz w:val="20"/>
                <w:szCs w:val="20"/>
              </w:rPr>
            </w:pPr>
            <w:r w:rsidDel="00000000" w:rsidR="00000000" w:rsidRPr="00000000">
              <w:rPr>
                <w:sz w:val="20"/>
                <w:szCs w:val="20"/>
                <w:rtl w:val="0"/>
              </w:rPr>
              <w:t xml:space="preserve">Do you have questions about these metrics?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0" w:firstLine="0"/>
              <w:rPr>
                <w:sz w:val="20"/>
                <w:szCs w:val="20"/>
              </w:rPr>
            </w:pPr>
            <w:r w:rsidDel="00000000" w:rsidR="00000000" w:rsidRPr="00000000">
              <w:rPr>
                <w:sz w:val="20"/>
                <w:szCs w:val="20"/>
                <w:rtl w:val="0"/>
              </w:rPr>
              <w:t xml:space="preserve">Do these metrics look adequate in terms of measuring progress toward outcomes? Any adjustments you would offer?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What other metrics would you add? What is the source of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0" w:firstLine="0"/>
              <w:rPr>
                <w:sz w:val="20"/>
                <w:szCs w:val="20"/>
              </w:rPr>
            </w:pPr>
            <w:r w:rsidDel="00000000" w:rsidR="00000000" w:rsidRPr="00000000">
              <w:rPr>
                <w:sz w:val="20"/>
                <w:szCs w:val="20"/>
                <w:rtl w:val="0"/>
              </w:rPr>
              <w:t xml:space="preserve">Which strategies would you like to discuss today? Are there any strategies that you would modify?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0" w:firstLine="0"/>
              <w:rPr>
                <w:sz w:val="20"/>
                <w:szCs w:val="20"/>
              </w:rPr>
            </w:pPr>
            <w:r w:rsidDel="00000000" w:rsidR="00000000" w:rsidRPr="00000000">
              <w:rPr>
                <w:sz w:val="20"/>
                <w:szCs w:val="20"/>
                <w:rtl w:val="0"/>
              </w:rPr>
              <w:t xml:space="preserve">Do the draft strategies align with county or community priorities as you see them?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Which strategy, from the ones that are listed, should be a priority for Multnomah County?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Are there any other strategies you would like to see in order to help achieve this goal?</w:t>
            </w:r>
          </w:p>
        </w:tc>
      </w:tr>
    </w:tbl>
    <w:p w:rsidR="00000000" w:rsidDel="00000000" w:rsidP="00000000" w:rsidRDefault="00000000" w:rsidRPr="00000000" w14:paraId="00000025">
      <w:pPr>
        <w:rPr>
          <w:b w:val="1"/>
          <w:sz w:val="8"/>
          <w:szCs w:val="8"/>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545"/>
        <w:gridCol w:w="5655"/>
        <w:tblGridChange w:id="0">
          <w:tblGrid>
            <w:gridCol w:w="3600"/>
            <w:gridCol w:w="1545"/>
            <w:gridCol w:w="5655"/>
          </w:tblGrid>
        </w:tblGridChange>
      </w:tblGrid>
      <w:tr>
        <w:trPr>
          <w:cantSplit w:val="0"/>
          <w:trHeight w:val="317.83007812499994"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26">
            <w:pPr>
              <w:pStyle w:val="Heading2"/>
              <w:spacing w:after="0" w:before="0" w:lineRule="auto"/>
              <w:rPr>
                <w:b w:val="1"/>
                <w:sz w:val="24"/>
                <w:szCs w:val="24"/>
              </w:rPr>
            </w:pPr>
            <w:bookmarkStart w:colFirst="0" w:colLast="0" w:name="_dxw6i1qgfww5" w:id="11"/>
            <w:bookmarkEnd w:id="11"/>
            <w:r w:rsidDel="00000000" w:rsidR="00000000" w:rsidRPr="00000000">
              <w:rPr>
                <w:b w:val="1"/>
                <w:sz w:val="24"/>
                <w:szCs w:val="24"/>
                <w:rtl w:val="0"/>
              </w:rPr>
              <w:t xml:space="preserve">Shared Agreements</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Respect each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rPr>
            </w:pPr>
            <w:r w:rsidDel="00000000" w:rsidR="00000000" w:rsidRPr="00000000">
              <w:rPr>
                <w:sz w:val="20"/>
                <w:szCs w:val="20"/>
                <w:rtl w:val="0"/>
              </w:rPr>
              <w:t xml:space="preserve">Expect and accept discomfort (and joy)</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Never a failure, always a lesson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rPr>
            </w:pPr>
            <w:r w:rsidDel="00000000" w:rsidR="00000000" w:rsidRPr="00000000">
              <w:rPr>
                <w:sz w:val="20"/>
                <w:szCs w:val="20"/>
                <w:rtl w:val="0"/>
              </w:rPr>
              <w:t xml:space="preserve">Practice community and self-care</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Make space, take space/share airtime. Balance participation in the room.</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“Bike rack” to capture off topic or detailed questions or ideas that arise</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Listen to understand, not to respond. Don’t interrupt.</w:t>
            </w:r>
          </w:p>
        </w:tc>
      </w:tr>
    </w:tbl>
    <w:p w:rsidR="00000000" w:rsidDel="00000000" w:rsidP="00000000" w:rsidRDefault="00000000" w:rsidRPr="00000000" w14:paraId="00000038">
      <w:pPr>
        <w:rPr>
          <w:b w:val="1"/>
          <w:sz w:val="8"/>
          <w:szCs w:val="8"/>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6270"/>
        <w:gridCol w:w="2760"/>
        <w:tblGridChange w:id="0">
          <w:tblGrid>
            <w:gridCol w:w="1770"/>
            <w:gridCol w:w="6270"/>
            <w:gridCol w:w="2760"/>
          </w:tblGrid>
        </w:tblGridChange>
      </w:tblGrid>
      <w:tr>
        <w:trPr>
          <w:cantSplit w:val="0"/>
          <w:trHeight w:val="44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39">
            <w:pPr>
              <w:pStyle w:val="Heading2"/>
              <w:spacing w:after="0" w:before="0" w:lineRule="auto"/>
              <w:rPr>
                <w:b w:val="1"/>
                <w:sz w:val="24"/>
                <w:szCs w:val="24"/>
              </w:rPr>
            </w:pPr>
            <w:bookmarkStart w:colFirst="0" w:colLast="0" w:name="_tcokey3dus9t" w:id="13"/>
            <w:bookmarkEnd w:id="13"/>
            <w:r w:rsidDel="00000000" w:rsidR="00000000" w:rsidRPr="00000000">
              <w:rPr>
                <w:b w:val="1"/>
                <w:sz w:val="24"/>
                <w:szCs w:val="24"/>
                <w:rtl w:val="0"/>
              </w:rPr>
              <w:t xml:space="preserve">Typology of Strategies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C">
            <w:pPr>
              <w:pStyle w:val="Heading2"/>
              <w:spacing w:after="0" w:before="0" w:lineRule="auto"/>
              <w:rPr>
                <w:sz w:val="20"/>
                <w:szCs w:val="20"/>
              </w:rPr>
            </w:pPr>
            <w:bookmarkStart w:colFirst="0" w:colLast="0" w:name="_ci2y47fj40nj" w:id="2"/>
            <w:bookmarkEnd w:id="2"/>
            <w:r w:rsidDel="00000000" w:rsidR="00000000" w:rsidRPr="00000000">
              <w:rPr>
                <w:sz w:val="20"/>
                <w:szCs w:val="20"/>
                <w:rtl w:val="0"/>
              </w:rPr>
              <w:t xml:space="preserve">Type of Strategy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pStyle w:val="Heading2"/>
              <w:spacing w:after="0" w:before="0" w:lineRule="auto"/>
              <w:rPr>
                <w:sz w:val="20"/>
                <w:szCs w:val="20"/>
              </w:rPr>
            </w:pPr>
            <w:bookmarkStart w:colFirst="0" w:colLast="0" w:name="_ci2y47fj40nj" w:id="2"/>
            <w:bookmarkEnd w:id="2"/>
            <w:r w:rsidDel="00000000" w:rsidR="00000000" w:rsidRPr="00000000">
              <w:rPr>
                <w:sz w:val="20"/>
                <w:szCs w:val="20"/>
                <w:rtl w:val="0"/>
              </w:rPr>
              <w:t xml:space="preserve">Description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pStyle w:val="Heading2"/>
              <w:spacing w:after="0" w:before="0" w:lineRule="auto"/>
              <w:rPr>
                <w:sz w:val="20"/>
                <w:szCs w:val="20"/>
              </w:rPr>
            </w:pPr>
            <w:bookmarkStart w:colFirst="0" w:colLast="0" w:name="_ci2y47fj40nj" w:id="2"/>
            <w:bookmarkEnd w:id="2"/>
            <w:r w:rsidDel="00000000" w:rsidR="00000000" w:rsidRPr="00000000">
              <w:rPr>
                <w:sz w:val="20"/>
                <w:szCs w:val="20"/>
                <w:rtl w:val="0"/>
              </w:rPr>
              <w:t xml:space="preserve">Examples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F">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County Policy</w:t>
            </w:r>
          </w:p>
        </w:tc>
        <w:tc>
          <w:tcPr>
            <w:tcMar>
              <w:top w:w="100.0" w:type="dxa"/>
              <w:left w:w="100.0" w:type="dxa"/>
              <w:bottom w:w="100.0" w:type="dxa"/>
              <w:right w:w="100.0" w:type="dxa"/>
            </w:tcMar>
            <w:vAlign w:val="top"/>
          </w:tcPr>
          <w:p w:rsidR="00000000" w:rsidDel="00000000" w:rsidP="00000000" w:rsidRDefault="00000000" w:rsidRPr="00000000" w14:paraId="00000040">
            <w:pPr>
              <w:pStyle w:val="Heading2"/>
              <w:spacing w:after="80" w:before="0" w:line="240" w:lineRule="auto"/>
              <w:rPr>
                <w:sz w:val="16"/>
                <w:szCs w:val="16"/>
              </w:rPr>
            </w:pPr>
            <w:bookmarkStart w:colFirst="0" w:colLast="0" w:name="_54m27aoy9xj3" w:id="14"/>
            <w:bookmarkEnd w:id="14"/>
            <w:r w:rsidDel="00000000" w:rsidR="00000000" w:rsidRPr="00000000">
              <w:rPr>
                <w:sz w:val="16"/>
                <w:szCs w:val="16"/>
                <w:rtl w:val="0"/>
              </w:rPr>
              <w:t xml:space="preserve">Multnomah County is a Home Rule county and is able to implement laws that are not expressly preempted by federal or state law. </w:t>
            </w:r>
          </w:p>
          <w:p w:rsidR="00000000" w:rsidDel="00000000" w:rsidP="00000000" w:rsidRDefault="00000000" w:rsidRPr="00000000" w14:paraId="00000041">
            <w:pPr>
              <w:pStyle w:val="Heading2"/>
              <w:spacing w:after="80" w:before="0" w:line="240" w:lineRule="auto"/>
              <w:rPr>
                <w:sz w:val="16"/>
                <w:szCs w:val="16"/>
              </w:rPr>
            </w:pPr>
            <w:bookmarkStart w:colFirst="0" w:colLast="0" w:name="_24f18w32kpj8" w:id="15"/>
            <w:bookmarkEnd w:id="15"/>
            <w:r w:rsidDel="00000000" w:rsidR="00000000" w:rsidRPr="00000000">
              <w:rPr>
                <w:sz w:val="16"/>
                <w:szCs w:val="16"/>
                <w:rtl w:val="0"/>
              </w:rPr>
              <w:t xml:space="preserve">The Board of County Commissioners is able to amend the County Code through a majority vote. </w:t>
            </w:r>
          </w:p>
          <w:p w:rsidR="00000000" w:rsidDel="00000000" w:rsidP="00000000" w:rsidRDefault="00000000" w:rsidRPr="00000000" w14:paraId="00000042">
            <w:pPr>
              <w:pStyle w:val="Heading2"/>
              <w:spacing w:after="0" w:before="0" w:line="240" w:lineRule="auto"/>
              <w:rPr>
                <w:sz w:val="16"/>
                <w:szCs w:val="16"/>
              </w:rPr>
            </w:pPr>
            <w:bookmarkStart w:colFirst="0" w:colLast="0" w:name="_7r8ply9ntaq6" w:id="16"/>
            <w:bookmarkEnd w:id="16"/>
            <w:r w:rsidDel="00000000" w:rsidR="00000000" w:rsidRPr="00000000">
              <w:rPr>
                <w:sz w:val="16"/>
                <w:szCs w:val="16"/>
                <w:rtl w:val="0"/>
              </w:rPr>
              <w:t xml:space="preserve">Voters are also able to amend the County Charter through the Charter review process and referral to voters. </w:t>
            </w:r>
          </w:p>
        </w:tc>
        <w:tc>
          <w:tcPr>
            <w:tcMar>
              <w:top w:w="100.0" w:type="dxa"/>
              <w:left w:w="100.0" w:type="dxa"/>
              <w:bottom w:w="100.0" w:type="dxa"/>
              <w:right w:w="100.0" w:type="dxa"/>
            </w:tcMar>
            <w:vAlign w:val="top"/>
          </w:tcPr>
          <w:p w:rsidR="00000000" w:rsidDel="00000000" w:rsidP="00000000" w:rsidRDefault="00000000" w:rsidRPr="00000000" w14:paraId="00000043">
            <w:pPr>
              <w:widowControl w:val="0"/>
              <w:spacing w:after="100" w:line="240" w:lineRule="auto"/>
              <w:rPr>
                <w:sz w:val="16"/>
                <w:szCs w:val="16"/>
              </w:rPr>
            </w:pPr>
            <w:hyperlink r:id="rId7">
              <w:r w:rsidDel="00000000" w:rsidR="00000000" w:rsidRPr="00000000">
                <w:rPr>
                  <w:color w:val="1155cc"/>
                  <w:sz w:val="16"/>
                  <w:szCs w:val="16"/>
                  <w:u w:val="single"/>
                  <w:rtl w:val="0"/>
                </w:rPr>
                <w:t xml:space="preserve">Wood smoke curtailment ordinance</w:t>
              </w:r>
            </w:hyperlink>
            <w:r w:rsidDel="00000000" w:rsidR="00000000" w:rsidRPr="00000000">
              <w:rPr>
                <w:sz w:val="16"/>
                <w:szCs w:val="16"/>
                <w:rtl w:val="0"/>
              </w:rPr>
              <w:t xml:space="preserve"> </w:t>
            </w:r>
          </w:p>
          <w:p w:rsidR="00000000" w:rsidDel="00000000" w:rsidP="00000000" w:rsidRDefault="00000000" w:rsidRPr="00000000" w14:paraId="00000044">
            <w:pPr>
              <w:widowControl w:val="0"/>
              <w:spacing w:after="100" w:line="240" w:lineRule="auto"/>
              <w:rPr>
                <w:sz w:val="16"/>
                <w:szCs w:val="16"/>
              </w:rPr>
            </w:pPr>
            <w:hyperlink r:id="rId8">
              <w:r w:rsidDel="00000000" w:rsidR="00000000" w:rsidRPr="00000000">
                <w:rPr>
                  <w:color w:val="1155cc"/>
                  <w:sz w:val="16"/>
                  <w:szCs w:val="16"/>
                  <w:u w:val="single"/>
                  <w:rtl w:val="0"/>
                </w:rPr>
                <w:t xml:space="preserve">Commercial building energy reporting</w:t>
              </w:r>
            </w:hyperlink>
            <w:r w:rsidDel="00000000" w:rsidR="00000000" w:rsidRPr="00000000">
              <w:rPr>
                <w:sz w:val="16"/>
                <w:szCs w:val="16"/>
                <w:rtl w:val="0"/>
              </w:rPr>
              <w:t xml:space="preserve"> </w:t>
            </w:r>
          </w:p>
          <w:p w:rsidR="00000000" w:rsidDel="00000000" w:rsidP="00000000" w:rsidRDefault="00000000" w:rsidRPr="00000000" w14:paraId="00000045">
            <w:pPr>
              <w:widowControl w:val="0"/>
              <w:spacing w:after="100" w:line="240" w:lineRule="auto"/>
              <w:rPr>
                <w:sz w:val="16"/>
                <w:szCs w:val="16"/>
              </w:rPr>
            </w:pPr>
            <w:hyperlink r:id="rId9">
              <w:r w:rsidDel="00000000" w:rsidR="00000000" w:rsidRPr="00000000">
                <w:rPr>
                  <w:color w:val="1155cc"/>
                  <w:sz w:val="16"/>
                  <w:szCs w:val="16"/>
                  <w:u w:val="single"/>
                  <w:rtl w:val="0"/>
                </w:rPr>
                <w:t xml:space="preserve">Building deconstruction requirements</w:t>
              </w:r>
            </w:hyperlink>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6">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Create/fund programs</w:t>
            </w:r>
          </w:p>
        </w:tc>
        <w:tc>
          <w:tcPr>
            <w:tcMar>
              <w:top w:w="100.0" w:type="dxa"/>
              <w:left w:w="100.0" w:type="dxa"/>
              <w:bottom w:w="100.0" w:type="dxa"/>
              <w:right w:w="100.0" w:type="dxa"/>
            </w:tcMar>
            <w:vAlign w:val="top"/>
          </w:tcPr>
          <w:p w:rsidR="00000000" w:rsidDel="00000000" w:rsidP="00000000" w:rsidRDefault="00000000" w:rsidRPr="00000000" w14:paraId="00000047">
            <w:pPr>
              <w:pStyle w:val="Heading2"/>
              <w:spacing w:after="80" w:before="0" w:line="240" w:lineRule="auto"/>
              <w:rPr>
                <w:sz w:val="16"/>
                <w:szCs w:val="16"/>
              </w:rPr>
            </w:pPr>
            <w:bookmarkStart w:colFirst="0" w:colLast="0" w:name="_gbk8uzh8ogvj" w:id="17"/>
            <w:bookmarkEnd w:id="17"/>
            <w:r w:rsidDel="00000000" w:rsidR="00000000" w:rsidRPr="00000000">
              <w:rPr>
                <w:sz w:val="16"/>
                <w:szCs w:val="16"/>
                <w:rtl w:val="0"/>
              </w:rPr>
              <w:t xml:space="preserve">The County Chair and Board of County Commissioners have wide discretion in how they allocate revenue raised by taxes and fees through the budget process. </w:t>
            </w:r>
          </w:p>
          <w:p w:rsidR="00000000" w:rsidDel="00000000" w:rsidP="00000000" w:rsidRDefault="00000000" w:rsidRPr="00000000" w14:paraId="00000048">
            <w:pPr>
              <w:pStyle w:val="Heading2"/>
              <w:spacing w:after="80" w:before="0" w:line="240" w:lineRule="auto"/>
              <w:rPr>
                <w:sz w:val="16"/>
                <w:szCs w:val="16"/>
              </w:rPr>
            </w:pPr>
            <w:bookmarkStart w:colFirst="0" w:colLast="0" w:name="_r254qqpoo6tm" w:id="18"/>
            <w:bookmarkEnd w:id="18"/>
            <w:r w:rsidDel="00000000" w:rsidR="00000000" w:rsidRPr="00000000">
              <w:rPr>
                <w:sz w:val="16"/>
                <w:szCs w:val="16"/>
                <w:rtl w:val="0"/>
              </w:rPr>
              <w:t xml:space="preserve">The County also has the power to increase certain taxes and fees, ask voters to increase certain taxes, or create new sources of revenue through a vote of the Board or by referral to voters.  </w:t>
            </w:r>
          </w:p>
          <w:p w:rsidR="00000000" w:rsidDel="00000000" w:rsidP="00000000" w:rsidRDefault="00000000" w:rsidRPr="00000000" w14:paraId="00000049">
            <w:pPr>
              <w:pStyle w:val="Heading2"/>
              <w:spacing w:after="0" w:before="0" w:line="240" w:lineRule="auto"/>
              <w:rPr>
                <w:sz w:val="16"/>
                <w:szCs w:val="16"/>
              </w:rPr>
            </w:pPr>
            <w:bookmarkStart w:colFirst="0" w:colLast="0" w:name="_3zrn5apdxa59" w:id="19"/>
            <w:bookmarkEnd w:id="19"/>
            <w:r w:rsidDel="00000000" w:rsidR="00000000" w:rsidRPr="00000000">
              <w:rPr>
                <w:sz w:val="16"/>
                <w:szCs w:val="16"/>
                <w:rtl w:val="0"/>
              </w:rPr>
              <w:t xml:space="preserve">Programs can be implemented by County employees or contracted through private companies or non-profits. </w:t>
            </w:r>
          </w:p>
        </w:tc>
        <w:tc>
          <w:tcPr>
            <w:tcMar>
              <w:top w:w="100.0" w:type="dxa"/>
              <w:left w:w="100.0" w:type="dxa"/>
              <w:bottom w:w="100.0" w:type="dxa"/>
              <w:right w:w="100.0" w:type="dxa"/>
            </w:tcMar>
            <w:vAlign w:val="top"/>
          </w:tcPr>
          <w:p w:rsidR="00000000" w:rsidDel="00000000" w:rsidP="00000000" w:rsidRDefault="00000000" w:rsidRPr="00000000" w14:paraId="0000004A">
            <w:pPr>
              <w:widowControl w:val="0"/>
              <w:spacing w:after="100" w:line="240" w:lineRule="auto"/>
              <w:rPr>
                <w:sz w:val="16"/>
                <w:szCs w:val="16"/>
              </w:rPr>
            </w:pPr>
            <w:hyperlink r:id="rId10">
              <w:r w:rsidDel="00000000" w:rsidR="00000000" w:rsidRPr="00000000">
                <w:rPr>
                  <w:color w:val="1155cc"/>
                  <w:sz w:val="16"/>
                  <w:szCs w:val="16"/>
                  <w:u w:val="single"/>
                  <w:rtl w:val="0"/>
                </w:rPr>
                <w:t xml:space="preserve">Clean Air Construction</w:t>
              </w:r>
            </w:hyperlink>
            <w:r w:rsidDel="00000000" w:rsidR="00000000" w:rsidRPr="00000000">
              <w:rPr>
                <w:sz w:val="16"/>
                <w:szCs w:val="16"/>
                <w:rtl w:val="0"/>
              </w:rPr>
              <w:t xml:space="preserve"> </w:t>
            </w:r>
          </w:p>
          <w:p w:rsidR="00000000" w:rsidDel="00000000" w:rsidP="00000000" w:rsidRDefault="00000000" w:rsidRPr="00000000" w14:paraId="0000004B">
            <w:pPr>
              <w:widowControl w:val="0"/>
              <w:spacing w:after="100" w:line="240" w:lineRule="auto"/>
              <w:rPr>
                <w:sz w:val="12"/>
                <w:szCs w:val="12"/>
              </w:rPr>
            </w:pPr>
            <w:hyperlink r:id="rId11">
              <w:r w:rsidDel="00000000" w:rsidR="00000000" w:rsidRPr="00000000">
                <w:rPr>
                  <w:color w:val="1155cc"/>
                  <w:sz w:val="16"/>
                  <w:szCs w:val="16"/>
                  <w:u w:val="single"/>
                  <w:rtl w:val="0"/>
                </w:rPr>
                <w:t xml:space="preserve">Wood Burning Exchange program</w:t>
              </w:r>
            </w:hyperlink>
            <w:r w:rsidDel="00000000" w:rsidR="00000000" w:rsidRPr="00000000">
              <w:rPr>
                <w:sz w:val="16"/>
                <w:szCs w:val="16"/>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C">
            <w:pPr>
              <w:pStyle w:val="Heading2"/>
              <w:spacing w:after="0" w:before="0" w:lineRule="auto"/>
              <w:rPr>
                <w:i w:val="1"/>
                <w:sz w:val="20"/>
                <w:szCs w:val="20"/>
              </w:rPr>
            </w:pPr>
            <w:bookmarkStart w:colFirst="0" w:colLast="0" w:name="_ci2y47fj40nj" w:id="2"/>
            <w:bookmarkEnd w:id="2"/>
            <w:r w:rsidDel="00000000" w:rsidR="00000000" w:rsidRPr="00000000">
              <w:rPr>
                <w:i w:val="1"/>
                <w:sz w:val="20"/>
                <w:szCs w:val="20"/>
                <w:rtl w:val="0"/>
              </w:rPr>
              <w:t xml:space="preserve">Advocacy</w:t>
            </w:r>
          </w:p>
        </w:tc>
        <w:tc>
          <w:tcPr>
            <w:tcMar>
              <w:top w:w="100.0" w:type="dxa"/>
              <w:left w:w="100.0" w:type="dxa"/>
              <w:bottom w:w="100.0" w:type="dxa"/>
              <w:right w:w="100.0" w:type="dxa"/>
            </w:tcMar>
            <w:vAlign w:val="top"/>
          </w:tcPr>
          <w:p w:rsidR="00000000" w:rsidDel="00000000" w:rsidP="00000000" w:rsidRDefault="00000000" w:rsidRPr="00000000" w14:paraId="0000004D">
            <w:pPr>
              <w:pStyle w:val="Heading2"/>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sz w:val="16"/>
                <w:szCs w:val="16"/>
              </w:rPr>
            </w:pPr>
            <w:bookmarkStart w:colFirst="0" w:colLast="0" w:name="_gd1ambmbkyd6" w:id="20"/>
            <w:bookmarkEnd w:id="20"/>
            <w:r w:rsidDel="00000000" w:rsidR="00000000" w:rsidRPr="00000000">
              <w:rPr>
                <w:sz w:val="16"/>
                <w:szCs w:val="16"/>
                <w:rtl w:val="0"/>
              </w:rPr>
              <w:t xml:space="preserve">Many authorities and powers are beyond the scope of Multnomah County’s authority. In those cases, the County and our partners can advocate for other government bodies to implement new policies or develop programs. </w:t>
            </w:r>
          </w:p>
          <w:p w:rsidR="00000000" w:rsidDel="00000000" w:rsidP="00000000" w:rsidRDefault="00000000" w:rsidRPr="00000000" w14:paraId="0000004E">
            <w:pPr>
              <w:pStyle w:val="Heading2"/>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bookmarkStart w:colFirst="0" w:colLast="0" w:name="_grv6edyaly80" w:id="21"/>
            <w:bookmarkEnd w:id="21"/>
            <w:r w:rsidDel="00000000" w:rsidR="00000000" w:rsidRPr="00000000">
              <w:rPr>
                <w:sz w:val="16"/>
                <w:szCs w:val="16"/>
                <w:rtl w:val="0"/>
              </w:rPr>
              <w:t xml:space="preserve">Advocacy is often done in coalition with other governments with the same priorities, or with community organizations, non-profits, and impacted individuals to amplify shared goals and drive systemic change.</w:t>
            </w:r>
          </w:p>
        </w:tc>
        <w:tc>
          <w:tcPr>
            <w:tcMar>
              <w:top w:w="100.0" w:type="dxa"/>
              <w:left w:w="100.0" w:type="dxa"/>
              <w:bottom w:w="100.0" w:type="dxa"/>
              <w:right w:w="100.0" w:type="dxa"/>
            </w:tcMar>
            <w:vAlign w:val="top"/>
          </w:tcPr>
          <w:p w:rsidR="00000000" w:rsidDel="00000000" w:rsidP="00000000" w:rsidRDefault="00000000" w:rsidRPr="00000000" w14:paraId="0000004F">
            <w:pPr>
              <w:widowControl w:val="0"/>
              <w:spacing w:after="100" w:line="240" w:lineRule="auto"/>
              <w:rPr>
                <w:sz w:val="16"/>
                <w:szCs w:val="16"/>
              </w:rPr>
            </w:pPr>
            <w:hyperlink r:id="rId12">
              <w:r w:rsidDel="00000000" w:rsidR="00000000" w:rsidRPr="00000000">
                <w:rPr>
                  <w:color w:val="1155cc"/>
                  <w:sz w:val="16"/>
                  <w:szCs w:val="16"/>
                  <w:u w:val="single"/>
                  <w:rtl w:val="0"/>
                </w:rPr>
                <w:t xml:space="preserve">Cleaner Air Oregon (DEQ)</w:t>
              </w:r>
            </w:hyperlink>
            <w:r w:rsidDel="00000000" w:rsidR="00000000" w:rsidRPr="00000000">
              <w:rPr>
                <w:rtl w:val="0"/>
              </w:rPr>
            </w:r>
          </w:p>
          <w:p w:rsidR="00000000" w:rsidDel="00000000" w:rsidP="00000000" w:rsidRDefault="00000000" w:rsidRPr="00000000" w14:paraId="00000050">
            <w:pPr>
              <w:widowControl w:val="0"/>
              <w:spacing w:after="100" w:line="240" w:lineRule="auto"/>
              <w:rPr>
                <w:sz w:val="16"/>
                <w:szCs w:val="16"/>
              </w:rPr>
            </w:pPr>
            <w:hyperlink r:id="rId13">
              <w:r w:rsidDel="00000000" w:rsidR="00000000" w:rsidRPr="00000000">
                <w:rPr>
                  <w:color w:val="1155cc"/>
                  <w:sz w:val="16"/>
                  <w:szCs w:val="16"/>
                  <w:u w:val="single"/>
                  <w:rtl w:val="0"/>
                </w:rPr>
                <w:t xml:space="preserve">Low-Income Utility Rates (PUC)</w:t>
              </w:r>
            </w:hyperlink>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1">
            <w:pPr>
              <w:pStyle w:val="Heading2"/>
              <w:spacing w:after="0" w:before="0" w:lineRule="auto"/>
              <w:rPr>
                <w:i w:val="1"/>
                <w:sz w:val="20"/>
                <w:szCs w:val="20"/>
              </w:rPr>
            </w:pPr>
            <w:bookmarkStart w:colFirst="0" w:colLast="0" w:name="_1ksfv78ppkkq" w:id="22"/>
            <w:bookmarkEnd w:id="22"/>
            <w:r w:rsidDel="00000000" w:rsidR="00000000" w:rsidRPr="00000000">
              <w:rPr>
                <w:i w:val="1"/>
                <w:sz w:val="20"/>
                <w:szCs w:val="20"/>
                <w:rtl w:val="0"/>
              </w:rPr>
              <w:t xml:space="preserve">Game changers</w:t>
            </w:r>
          </w:p>
        </w:tc>
        <w:tc>
          <w:tcPr>
            <w:tcMar>
              <w:top w:w="100.0" w:type="dxa"/>
              <w:left w:w="100.0" w:type="dxa"/>
              <w:bottom w:w="100.0" w:type="dxa"/>
              <w:right w:w="100.0" w:type="dxa"/>
            </w:tcMar>
            <w:vAlign w:val="top"/>
          </w:tcPr>
          <w:p w:rsidR="00000000" w:rsidDel="00000000" w:rsidP="00000000" w:rsidRDefault="00000000" w:rsidRPr="00000000" w14:paraId="00000052">
            <w:pPr>
              <w:pStyle w:val="Heading2"/>
              <w:spacing w:after="80" w:before="0" w:line="240" w:lineRule="auto"/>
              <w:rPr>
                <w:sz w:val="16"/>
                <w:szCs w:val="16"/>
              </w:rPr>
            </w:pPr>
            <w:bookmarkStart w:colFirst="0" w:colLast="0" w:name="_998v4gxuarv8" w:id="23"/>
            <w:bookmarkEnd w:id="23"/>
            <w:r w:rsidDel="00000000" w:rsidR="00000000" w:rsidRPr="00000000">
              <w:rPr>
                <w:sz w:val="16"/>
                <w:szCs w:val="16"/>
                <w:rtl w:val="0"/>
              </w:rPr>
              <w:t xml:space="preserve">Game-changing initiatives often come from outside of government or through a partnership of outside advocates and government. </w:t>
            </w:r>
          </w:p>
          <w:p w:rsidR="00000000" w:rsidDel="00000000" w:rsidP="00000000" w:rsidRDefault="00000000" w:rsidRPr="00000000" w14:paraId="00000053">
            <w:pPr>
              <w:pStyle w:val="Heading2"/>
              <w:spacing w:after="80" w:before="0" w:line="240" w:lineRule="auto"/>
              <w:rPr>
                <w:sz w:val="16"/>
                <w:szCs w:val="16"/>
              </w:rPr>
            </w:pPr>
            <w:bookmarkStart w:colFirst="0" w:colLast="0" w:name="_rd5p18vzaf4h" w:id="24"/>
            <w:bookmarkEnd w:id="24"/>
            <w:r w:rsidDel="00000000" w:rsidR="00000000" w:rsidRPr="00000000">
              <w:rPr>
                <w:sz w:val="16"/>
                <w:szCs w:val="16"/>
                <w:rtl w:val="0"/>
              </w:rPr>
              <w:t xml:space="preserve">This approach often involves innovative thinking and a willingness to challenge the status quo to achieve significant progress or transformation.</w:t>
            </w:r>
          </w:p>
          <w:p w:rsidR="00000000" w:rsidDel="00000000" w:rsidP="00000000" w:rsidRDefault="00000000" w:rsidRPr="00000000" w14:paraId="00000054">
            <w:pPr>
              <w:pStyle w:val="Heading2"/>
              <w:spacing w:after="0" w:before="0" w:line="240" w:lineRule="auto"/>
              <w:rPr>
                <w:sz w:val="16"/>
                <w:szCs w:val="16"/>
              </w:rPr>
            </w:pPr>
            <w:bookmarkStart w:colFirst="0" w:colLast="0" w:name="_r5nm2028wvwr" w:id="25"/>
            <w:bookmarkEnd w:id="25"/>
            <w:r w:rsidDel="00000000" w:rsidR="00000000" w:rsidRPr="00000000">
              <w:rPr>
                <w:sz w:val="16"/>
                <w:szCs w:val="16"/>
                <w:rtl w:val="0"/>
              </w:rPr>
              <w:t xml:space="preserve">These strategies refer to taking steps that exceed the existing powers or jurisdiction of an individual, organization, or government body, and often include a referral to voters to grant new authorities or revenues. </w:t>
            </w:r>
          </w:p>
        </w:tc>
        <w:tc>
          <w:tcPr>
            <w:tcMar>
              <w:top w:w="100.0" w:type="dxa"/>
              <w:left w:w="100.0" w:type="dxa"/>
              <w:bottom w:w="100.0" w:type="dxa"/>
              <w:right w:w="100.0" w:type="dxa"/>
            </w:tcMar>
            <w:vAlign w:val="top"/>
          </w:tcPr>
          <w:p w:rsidR="00000000" w:rsidDel="00000000" w:rsidP="00000000" w:rsidRDefault="00000000" w:rsidRPr="00000000" w14:paraId="00000055">
            <w:pPr>
              <w:widowControl w:val="0"/>
              <w:spacing w:after="100" w:line="240" w:lineRule="auto"/>
              <w:rPr>
                <w:sz w:val="16"/>
                <w:szCs w:val="16"/>
              </w:rPr>
            </w:pPr>
            <w:hyperlink r:id="rId14">
              <w:r w:rsidDel="00000000" w:rsidR="00000000" w:rsidRPr="00000000">
                <w:rPr>
                  <w:color w:val="1155cc"/>
                  <w:sz w:val="16"/>
                  <w:szCs w:val="16"/>
                  <w:u w:val="single"/>
                  <w:rtl w:val="0"/>
                </w:rPr>
                <w:t xml:space="preserve">Portland Clean Energy Fund</w:t>
              </w:r>
            </w:hyperlink>
            <w:r w:rsidDel="00000000" w:rsidR="00000000" w:rsidRPr="00000000">
              <w:rPr>
                <w:sz w:val="16"/>
                <w:szCs w:val="16"/>
                <w:rtl w:val="0"/>
              </w:rPr>
              <w:t xml:space="preserve"> </w:t>
            </w:r>
          </w:p>
          <w:p w:rsidR="00000000" w:rsidDel="00000000" w:rsidP="00000000" w:rsidRDefault="00000000" w:rsidRPr="00000000" w14:paraId="00000056">
            <w:pPr>
              <w:widowControl w:val="0"/>
              <w:spacing w:after="100" w:line="240" w:lineRule="auto"/>
              <w:rPr>
                <w:sz w:val="16"/>
                <w:szCs w:val="16"/>
              </w:rPr>
            </w:pPr>
            <w:hyperlink r:id="rId15">
              <w:r w:rsidDel="00000000" w:rsidR="00000000" w:rsidRPr="00000000">
                <w:rPr>
                  <w:color w:val="1155cc"/>
                  <w:sz w:val="16"/>
                  <w:szCs w:val="16"/>
                  <w:u w:val="single"/>
                  <w:rtl w:val="0"/>
                </w:rPr>
                <w:t xml:space="preserve">Portland</w:t>
              </w:r>
            </w:hyperlink>
            <w:r w:rsidDel="00000000" w:rsidR="00000000" w:rsidRPr="00000000">
              <w:rPr>
                <w:sz w:val="16"/>
                <w:szCs w:val="16"/>
                <w:rtl w:val="0"/>
              </w:rPr>
              <w:t xml:space="preserve"> </w:t>
            </w:r>
            <w:hyperlink r:id="rId16">
              <w:r w:rsidDel="00000000" w:rsidR="00000000" w:rsidRPr="00000000">
                <w:rPr>
                  <w:color w:val="1155cc"/>
                  <w:sz w:val="16"/>
                  <w:szCs w:val="16"/>
                  <w:u w:val="single"/>
                  <w:rtl w:val="0"/>
                </w:rPr>
                <w:t xml:space="preserve">Charter Reform</w:t>
              </w:r>
            </w:hyperlink>
            <w:r w:rsidDel="00000000" w:rsidR="00000000" w:rsidRPr="00000000">
              <w:rPr>
                <w:sz w:val="16"/>
                <w:szCs w:val="16"/>
                <w:rtl w:val="0"/>
              </w:rPr>
              <w:t xml:space="preserve">,</w:t>
            </w:r>
          </w:p>
          <w:p w:rsidR="00000000" w:rsidDel="00000000" w:rsidP="00000000" w:rsidRDefault="00000000" w:rsidRPr="00000000" w14:paraId="00000057">
            <w:pPr>
              <w:widowControl w:val="0"/>
              <w:spacing w:after="100" w:line="240" w:lineRule="auto"/>
              <w:rPr>
                <w:sz w:val="16"/>
                <w:szCs w:val="16"/>
              </w:rPr>
            </w:pPr>
            <w:hyperlink r:id="rId17">
              <w:r w:rsidDel="00000000" w:rsidR="00000000" w:rsidRPr="00000000">
                <w:rPr>
                  <w:color w:val="1155cc"/>
                  <w:sz w:val="16"/>
                  <w:szCs w:val="16"/>
                  <w:u w:val="single"/>
                  <w:rtl w:val="0"/>
                </w:rPr>
                <w:t xml:space="preserve">Preschool for All</w:t>
              </w:r>
            </w:hyperlink>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8">
            <w:pPr>
              <w:pStyle w:val="Heading2"/>
              <w:spacing w:after="0" w:before="0" w:lineRule="auto"/>
              <w:rPr>
                <w:i w:val="1"/>
                <w:sz w:val="20"/>
                <w:szCs w:val="20"/>
              </w:rPr>
            </w:pPr>
            <w:bookmarkStart w:colFirst="0" w:colLast="0" w:name="_1ksfv78ppkkq" w:id="22"/>
            <w:bookmarkEnd w:id="22"/>
            <w:r w:rsidDel="00000000" w:rsidR="00000000" w:rsidRPr="00000000">
              <w:rPr>
                <w:i w:val="1"/>
                <w:sz w:val="20"/>
                <w:szCs w:val="20"/>
                <w:rtl w:val="0"/>
              </w:rPr>
              <w:t xml:space="preserve">Governance/third space</w:t>
            </w:r>
          </w:p>
        </w:tc>
        <w:tc>
          <w:tcPr>
            <w:tcMar>
              <w:top w:w="100.0" w:type="dxa"/>
              <w:left w:w="100.0" w:type="dxa"/>
              <w:bottom w:w="100.0" w:type="dxa"/>
              <w:right w:w="100.0" w:type="dxa"/>
            </w:tcMar>
            <w:vAlign w:val="top"/>
          </w:tcPr>
          <w:p w:rsidR="00000000" w:rsidDel="00000000" w:rsidP="00000000" w:rsidRDefault="00000000" w:rsidRPr="00000000" w14:paraId="00000059">
            <w:pPr>
              <w:pStyle w:val="Heading2"/>
              <w:spacing w:after="80" w:before="0" w:line="240" w:lineRule="auto"/>
              <w:rPr>
                <w:sz w:val="16"/>
                <w:szCs w:val="16"/>
              </w:rPr>
            </w:pPr>
            <w:bookmarkStart w:colFirst="0" w:colLast="0" w:name="_9dd2s1hd6c4q" w:id="26"/>
            <w:bookmarkEnd w:id="26"/>
            <w:r w:rsidDel="00000000" w:rsidR="00000000" w:rsidRPr="00000000">
              <w:rPr>
                <w:sz w:val="16"/>
                <w:szCs w:val="16"/>
                <w:rtl w:val="0"/>
              </w:rPr>
              <w:t xml:space="preserve">These strategies emphasize the importance of building and enhancing social connections among community members as a means to improve the quality of life in neighborhoods and tackle various social issues. </w:t>
            </w:r>
          </w:p>
          <w:p w:rsidR="00000000" w:rsidDel="00000000" w:rsidP="00000000" w:rsidRDefault="00000000" w:rsidRPr="00000000" w14:paraId="0000005A">
            <w:pPr>
              <w:pStyle w:val="Heading2"/>
              <w:spacing w:after="80" w:before="0" w:line="240" w:lineRule="auto"/>
              <w:rPr>
                <w:sz w:val="16"/>
                <w:szCs w:val="16"/>
              </w:rPr>
            </w:pPr>
            <w:bookmarkStart w:colFirst="0" w:colLast="0" w:name="_q261otarpycm" w:id="27"/>
            <w:bookmarkEnd w:id="27"/>
            <w:r w:rsidDel="00000000" w:rsidR="00000000" w:rsidRPr="00000000">
              <w:rPr>
                <w:sz w:val="16"/>
                <w:szCs w:val="16"/>
                <w:rtl w:val="0"/>
              </w:rPr>
              <w:t xml:space="preserve">By creating a "shared space" or "third space" where community and government meet as peers to find shared priorities and strategies, new solutions to address the effects of the climate crisis that center the people and communities who experience systemically created disparities can emerge.</w:t>
            </w:r>
          </w:p>
          <w:p w:rsidR="00000000" w:rsidDel="00000000" w:rsidP="00000000" w:rsidRDefault="00000000" w:rsidRPr="00000000" w14:paraId="0000005B">
            <w:pPr>
              <w:pStyle w:val="Heading2"/>
              <w:spacing w:after="80" w:before="0" w:line="240" w:lineRule="auto"/>
              <w:rPr>
                <w:sz w:val="16"/>
                <w:szCs w:val="16"/>
              </w:rPr>
            </w:pPr>
            <w:bookmarkStart w:colFirst="0" w:colLast="0" w:name="_4j3rryo9dai7" w:id="28"/>
            <w:bookmarkEnd w:id="28"/>
            <w:r w:rsidDel="00000000" w:rsidR="00000000" w:rsidRPr="00000000">
              <w:rPr>
                <w:sz w:val="16"/>
                <w:szCs w:val="16"/>
                <w:rtl w:val="0"/>
              </w:rPr>
              <w:t xml:space="preserve">Third spaces build and invest in community capacity.</w:t>
            </w:r>
          </w:p>
          <w:p w:rsidR="00000000" w:rsidDel="00000000" w:rsidP="00000000" w:rsidRDefault="00000000" w:rsidRPr="00000000" w14:paraId="0000005C">
            <w:pPr>
              <w:pStyle w:val="Heading2"/>
              <w:spacing w:after="0" w:before="0" w:line="240" w:lineRule="auto"/>
              <w:rPr>
                <w:sz w:val="16"/>
                <w:szCs w:val="16"/>
              </w:rPr>
            </w:pPr>
            <w:bookmarkStart w:colFirst="0" w:colLast="0" w:name="_yots70c56svj" w:id="29"/>
            <w:bookmarkEnd w:id="29"/>
            <w:r w:rsidDel="00000000" w:rsidR="00000000" w:rsidRPr="00000000">
              <w:rPr>
                <w:sz w:val="16"/>
                <w:szCs w:val="16"/>
                <w:rtl w:val="0"/>
              </w:rPr>
              <w:t xml:space="preserve">Strong social networks can lead to better community support, increased civic engagement, and a greater sense of belonging, all of which are essential for community revitalization and problem solving.</w:t>
            </w:r>
          </w:p>
        </w:tc>
        <w:tc>
          <w:tcPr>
            <w:tcMar>
              <w:top w:w="100.0" w:type="dxa"/>
              <w:left w:w="100.0" w:type="dxa"/>
              <w:bottom w:w="100.0" w:type="dxa"/>
              <w:right w:w="100.0" w:type="dxa"/>
            </w:tcMar>
            <w:vAlign w:val="top"/>
          </w:tcPr>
          <w:p w:rsidR="00000000" w:rsidDel="00000000" w:rsidP="00000000" w:rsidRDefault="00000000" w:rsidRPr="00000000" w14:paraId="0000005D">
            <w:pPr>
              <w:widowControl w:val="0"/>
              <w:spacing w:after="100" w:line="240" w:lineRule="auto"/>
              <w:rPr>
                <w:sz w:val="16"/>
                <w:szCs w:val="16"/>
              </w:rPr>
            </w:pPr>
            <w:hyperlink r:id="rId18">
              <w:r w:rsidDel="00000000" w:rsidR="00000000" w:rsidRPr="00000000">
                <w:rPr>
                  <w:color w:val="1155cc"/>
                  <w:sz w:val="16"/>
                  <w:szCs w:val="16"/>
                  <w:u w:val="single"/>
                  <w:rtl w:val="0"/>
                </w:rPr>
                <w:t xml:space="preserve">MADE for Health Justice</w:t>
              </w:r>
            </w:hyperlink>
            <w:r w:rsidDel="00000000" w:rsidR="00000000" w:rsidRPr="00000000">
              <w:rPr>
                <w:rtl w:val="0"/>
              </w:rPr>
            </w:r>
          </w:p>
          <w:p w:rsidR="00000000" w:rsidDel="00000000" w:rsidP="00000000" w:rsidRDefault="00000000" w:rsidRPr="00000000" w14:paraId="0000005E">
            <w:pPr>
              <w:widowControl w:val="0"/>
              <w:spacing w:after="100" w:line="240" w:lineRule="auto"/>
              <w:rPr>
                <w:sz w:val="12"/>
                <w:szCs w:val="12"/>
              </w:rPr>
            </w:pPr>
            <w:hyperlink r:id="rId19">
              <w:r w:rsidDel="00000000" w:rsidR="00000000" w:rsidRPr="00000000">
                <w:rPr>
                  <w:color w:val="1155cc"/>
                  <w:sz w:val="16"/>
                  <w:szCs w:val="16"/>
                  <w:u w:val="single"/>
                  <w:rtl w:val="0"/>
                </w:rPr>
                <w:t xml:space="preserve">Climate Justice by Design (CJxD)</w:t>
              </w:r>
            </w:hyperlink>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F">
            <w:pPr>
              <w:pStyle w:val="Heading2"/>
              <w:spacing w:after="0" w:before="0" w:lineRule="auto"/>
              <w:rPr>
                <w:i w:val="1"/>
                <w:sz w:val="20"/>
                <w:szCs w:val="20"/>
              </w:rPr>
            </w:pPr>
            <w:bookmarkStart w:colFirst="0" w:colLast="0" w:name="_1ksfv78ppkkq" w:id="22"/>
            <w:bookmarkEnd w:id="22"/>
            <w:r w:rsidDel="00000000" w:rsidR="00000000" w:rsidRPr="00000000">
              <w:rPr>
                <w:i w:val="1"/>
                <w:sz w:val="20"/>
                <w:szCs w:val="20"/>
                <w:rtl w:val="0"/>
              </w:rPr>
              <w:t xml:space="preserve">Mutual Aid</w:t>
            </w:r>
          </w:p>
        </w:tc>
        <w:tc>
          <w:tcPr>
            <w:tcMar>
              <w:top w:w="100.0" w:type="dxa"/>
              <w:left w:w="100.0" w:type="dxa"/>
              <w:bottom w:w="100.0" w:type="dxa"/>
              <w:right w:w="100.0" w:type="dxa"/>
            </w:tcMar>
            <w:vAlign w:val="top"/>
          </w:tcPr>
          <w:p w:rsidR="00000000" w:rsidDel="00000000" w:rsidP="00000000" w:rsidRDefault="00000000" w:rsidRPr="00000000" w14:paraId="00000060">
            <w:pPr>
              <w:pStyle w:val="Heading2"/>
              <w:spacing w:after="80" w:before="0" w:line="240" w:lineRule="auto"/>
              <w:rPr>
                <w:sz w:val="16"/>
                <w:szCs w:val="16"/>
              </w:rPr>
            </w:pPr>
            <w:bookmarkStart w:colFirst="0" w:colLast="0" w:name="_9oc9rsxx005f" w:id="30"/>
            <w:bookmarkEnd w:id="30"/>
            <w:r w:rsidDel="00000000" w:rsidR="00000000" w:rsidRPr="00000000">
              <w:rPr>
                <w:sz w:val="16"/>
                <w:szCs w:val="16"/>
                <w:rtl w:val="0"/>
              </w:rPr>
              <w:t xml:space="preserve">Actions meant to support the common good among people that take place without government coordination or involvement. </w:t>
            </w:r>
          </w:p>
          <w:p w:rsidR="00000000" w:rsidDel="00000000" w:rsidP="00000000" w:rsidRDefault="00000000" w:rsidRPr="00000000" w14:paraId="00000061">
            <w:pPr>
              <w:pStyle w:val="Heading2"/>
              <w:spacing w:after="80" w:before="0" w:line="240" w:lineRule="auto"/>
              <w:rPr>
                <w:sz w:val="16"/>
                <w:szCs w:val="16"/>
              </w:rPr>
            </w:pPr>
            <w:bookmarkStart w:colFirst="0" w:colLast="0" w:name="_z4wl383rx1s9" w:id="31"/>
            <w:bookmarkEnd w:id="31"/>
            <w:r w:rsidDel="00000000" w:rsidR="00000000" w:rsidRPr="00000000">
              <w:rPr>
                <w:sz w:val="16"/>
                <w:szCs w:val="16"/>
                <w:rtl w:val="0"/>
              </w:rPr>
              <w:t xml:space="preserve">Mutual aid does not require a formal structure or nonprofit status, although groups sometimes evolve into nonprofit organizations.</w:t>
            </w:r>
          </w:p>
          <w:p w:rsidR="00000000" w:rsidDel="00000000" w:rsidP="00000000" w:rsidRDefault="00000000" w:rsidRPr="00000000" w14:paraId="00000062">
            <w:pPr>
              <w:pStyle w:val="Heading2"/>
              <w:spacing w:after="0" w:before="0" w:line="240" w:lineRule="auto"/>
              <w:rPr>
                <w:sz w:val="16"/>
                <w:szCs w:val="16"/>
              </w:rPr>
            </w:pPr>
            <w:bookmarkStart w:colFirst="0" w:colLast="0" w:name="_er92fo5mum8c" w:id="32"/>
            <w:bookmarkEnd w:id="32"/>
            <w:r w:rsidDel="00000000" w:rsidR="00000000" w:rsidRPr="00000000">
              <w:rPr>
                <w:sz w:val="16"/>
                <w:szCs w:val="16"/>
                <w:rtl w:val="0"/>
              </w:rPr>
              <w:t xml:space="preserve">These initiatives foster a sense of solidarity and self-reliance within communities, addressing immediate needs and building stronger social networks.</w:t>
            </w:r>
          </w:p>
        </w:tc>
        <w:tc>
          <w:tcPr>
            <w:tcMar>
              <w:top w:w="100.0" w:type="dxa"/>
              <w:left w:w="100.0" w:type="dxa"/>
              <w:bottom w:w="100.0" w:type="dxa"/>
              <w:right w:w="100.0" w:type="dxa"/>
            </w:tcMar>
            <w:vAlign w:val="top"/>
          </w:tcPr>
          <w:p w:rsidR="00000000" w:rsidDel="00000000" w:rsidP="00000000" w:rsidRDefault="00000000" w:rsidRPr="00000000" w14:paraId="00000063">
            <w:pPr>
              <w:widowControl w:val="0"/>
              <w:spacing w:after="100" w:line="240" w:lineRule="auto"/>
              <w:rPr>
                <w:sz w:val="16"/>
                <w:szCs w:val="16"/>
              </w:rPr>
            </w:pPr>
            <w:hyperlink r:id="rId20">
              <w:r w:rsidDel="00000000" w:rsidR="00000000" w:rsidRPr="00000000">
                <w:rPr>
                  <w:color w:val="1155cc"/>
                  <w:sz w:val="16"/>
                  <w:szCs w:val="16"/>
                  <w:u w:val="single"/>
                  <w:rtl w:val="0"/>
                </w:rPr>
                <w:t xml:space="preserve">Neighborhood refrigerator pantries</w:t>
              </w:r>
            </w:hyperlink>
            <w:r w:rsidDel="00000000" w:rsidR="00000000" w:rsidRPr="00000000">
              <w:rPr>
                <w:rtl w:val="0"/>
              </w:rPr>
            </w:r>
          </w:p>
          <w:p w:rsidR="00000000" w:rsidDel="00000000" w:rsidP="00000000" w:rsidRDefault="00000000" w:rsidRPr="00000000" w14:paraId="00000064">
            <w:pPr>
              <w:widowControl w:val="0"/>
              <w:spacing w:after="100" w:line="240" w:lineRule="auto"/>
              <w:rPr>
                <w:sz w:val="16"/>
                <w:szCs w:val="16"/>
              </w:rPr>
            </w:pPr>
            <w:hyperlink r:id="rId21">
              <w:r w:rsidDel="00000000" w:rsidR="00000000" w:rsidRPr="00000000">
                <w:rPr>
                  <w:color w:val="1155cc"/>
                  <w:sz w:val="16"/>
                  <w:szCs w:val="16"/>
                  <w:u w:val="single"/>
                  <w:rtl w:val="0"/>
                </w:rPr>
                <w:t xml:space="preserve">Community gardens</w:t>
              </w:r>
            </w:hyperlink>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sectPr>
      <w:pgSz w:h="15840" w:w="12240" w:orient="portrait"/>
      <w:pgMar w:bottom="0" w:top="360" w:left="720" w:right="720" w:header="36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pdxparent.com/feeding-families-local-free-fridges-and-pantries-address-food-insecurity/" TargetMode="External"/><Relationship Id="rId11" Type="http://schemas.openxmlformats.org/officeDocument/2006/relationships/hyperlink" Target="https://www.multco.us/dchs/wood-burning-exchange" TargetMode="External"/><Relationship Id="rId10" Type="http://schemas.openxmlformats.org/officeDocument/2006/relationships/hyperlink" Target="https://www.portland.gov/omf/brfs/procurement/clean-air-construction" TargetMode="External"/><Relationship Id="rId21" Type="http://schemas.openxmlformats.org/officeDocument/2006/relationships/hyperlink" Target="https://www.portland.gov/parks/community-gardens" TargetMode="External"/><Relationship Id="rId13" Type="http://schemas.openxmlformats.org/officeDocument/2006/relationships/hyperlink" Target="https://edocs.puc.state.or.us/efdocs/HAH/um2211hah114912.pdf" TargetMode="External"/><Relationship Id="rId12" Type="http://schemas.openxmlformats.org/officeDocument/2006/relationships/hyperlink" Target="https://www.oregon.gov/deq/aq/cao/pages/default.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ortland.gov/bps/climate-action/decon/deconstruction-requirements" TargetMode="External"/><Relationship Id="rId15" Type="http://schemas.openxmlformats.org/officeDocument/2006/relationships/hyperlink" Target="https://www.portland.gov/transition/overview#:~:text=The%20City%20of%20Portland%20is,council%20and%20new%20leadership%20roles." TargetMode="External"/><Relationship Id="rId14" Type="http://schemas.openxmlformats.org/officeDocument/2006/relationships/hyperlink" Target="https://www.portland.gov/bps/cleanenergy" TargetMode="External"/><Relationship Id="rId17" Type="http://schemas.openxmlformats.org/officeDocument/2006/relationships/hyperlink" Target="https://www.multco.us/preschool" TargetMode="External"/><Relationship Id="rId16" Type="http://schemas.openxmlformats.org/officeDocument/2006/relationships/hyperlink" Target="https://www.portland.gov/transition/overview#:~:text=The%20City%20of%20Portland%20is,council%20and%20new%20leadership%20roles." TargetMode="External"/><Relationship Id="rId5" Type="http://schemas.openxmlformats.org/officeDocument/2006/relationships/styles" Target="styles.xml"/><Relationship Id="rId19" Type="http://schemas.openxmlformats.org/officeDocument/2006/relationships/hyperlink" Target="https://multco.us/info/climate-justice-design" TargetMode="External"/><Relationship Id="rId6" Type="http://schemas.openxmlformats.org/officeDocument/2006/relationships/image" Target="media/image1.jpg"/><Relationship Id="rId18" Type="http://schemas.openxmlformats.org/officeDocument/2006/relationships/hyperlink" Target="https://www.coalitioncommunitiescolor.org/ccc-news/2024/12/2/celebrating-stories-made-for-health-justice" TargetMode="External"/><Relationship Id="rId7" Type="http://schemas.openxmlformats.org/officeDocument/2006/relationships/hyperlink" Target="https://www.multco.us/health/staying-healthy/wood-burning-restrictions" TargetMode="External"/><Relationship Id="rId8" Type="http://schemas.openxmlformats.org/officeDocument/2006/relationships/hyperlink" Target="https://www.portland.gov/bps/climate-action/energy-reporting#:~:text=Requires%20commercial%20buildings%2020%2C000%20square,by%20April%2022%20each%20ye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