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b w:val="0"/>
          <w:i w:val="0"/>
          <w:sz w:val="7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140"/>
        <w:gridCol w:w="2220"/>
        <w:gridCol w:w="1220"/>
        <w:gridCol w:w="500"/>
        <w:gridCol w:w="4040"/>
      </w:tblGrid>
      <w:tr>
        <w:trPr>
          <w:trHeight w:val="520" w:hRule="atLeast"/>
        </w:trPr>
        <w:tc>
          <w:tcPr>
            <w:tcW w:w="1680" w:type="dxa"/>
            <w:tcBorders>
              <w:bottom w:val="double" w:sz="8" w:space="0" w:color="000000"/>
            </w:tcBorders>
            <w:shd w:val="clear" w:color="auto" w:fill="EFEFEF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Name</w:t>
            </w:r>
          </w:p>
        </w:tc>
        <w:tc>
          <w:tcPr>
            <w:tcW w:w="3360" w:type="dxa"/>
            <w:gridSpan w:val="2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gridSpan w:val="2"/>
            <w:tcBorders>
              <w:bottom w:val="double" w:sz="8" w:space="0" w:color="000000"/>
            </w:tcBorders>
            <w:shd w:val="clear" w:color="auto" w:fill="EFEFEF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Organization</w:t>
            </w:r>
          </w:p>
        </w:tc>
        <w:tc>
          <w:tcPr>
            <w:tcW w:w="4040" w:type="dxa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0800" w:type="dxa"/>
            <w:gridSpan w:val="6"/>
            <w:tcBorders>
              <w:top w:val="double" w:sz="8" w:space="0" w:color="000000"/>
            </w:tcBorders>
            <w:shd w:val="clear" w:color="auto" w:fill="F2F2F2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bookmarkStart w:name="Goal " w:id="1"/>
            <w:bookmarkEnd w:id="1"/>
            <w:r>
              <w:rPr/>
            </w:r>
            <w:r>
              <w:rPr>
                <w:b/>
                <w:spacing w:val="-4"/>
                <w:w w:val="115"/>
                <w:sz w:val="24"/>
              </w:rPr>
              <w:t>Goal</w:t>
            </w:r>
          </w:p>
        </w:tc>
      </w:tr>
      <w:tr>
        <w:trPr>
          <w:trHeight w:val="499" w:hRule="atLeast"/>
        </w:trPr>
        <w:tc>
          <w:tcPr>
            <w:tcW w:w="10800" w:type="dxa"/>
            <w:gridSpan w:val="6"/>
            <w:tcBorders>
              <w:bottom w:val="double" w:sz="8" w:space="0" w:color="000000"/>
            </w:tcBorders>
          </w:tcPr>
          <w:p>
            <w:pPr>
              <w:pStyle w:val="TableParagraph"/>
              <w:spacing w:before="105"/>
              <w:rPr>
                <w:i/>
                <w:sz w:val="20"/>
              </w:rPr>
            </w:pPr>
            <w:bookmarkStart w:name="Every community member has access to wea" w:id="2"/>
            <w:bookmarkEnd w:id="2"/>
            <w:r>
              <w:rPr/>
            </w:r>
            <w:r>
              <w:rPr>
                <w:i/>
                <w:w w:val="105"/>
                <w:sz w:val="20"/>
              </w:rPr>
              <w:t>Every</w:t>
            </w:r>
            <w:r>
              <w:rPr>
                <w:i/>
                <w:spacing w:val="26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community</w:t>
            </w:r>
            <w:r>
              <w:rPr>
                <w:i/>
                <w:spacing w:val="26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member</w:t>
            </w:r>
            <w:r>
              <w:rPr>
                <w:i/>
                <w:spacing w:val="27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has</w:t>
            </w:r>
            <w:r>
              <w:rPr>
                <w:i/>
                <w:spacing w:val="26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access</w:t>
            </w:r>
            <w:r>
              <w:rPr>
                <w:i/>
                <w:spacing w:val="26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to</w:t>
            </w:r>
            <w:r>
              <w:rPr>
                <w:i/>
                <w:spacing w:val="27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wealth-building</w:t>
            </w:r>
            <w:r>
              <w:rPr>
                <w:i/>
                <w:spacing w:val="26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opportunities</w:t>
            </w:r>
            <w:r>
              <w:rPr>
                <w:i/>
                <w:spacing w:val="26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and</w:t>
            </w:r>
            <w:r>
              <w:rPr>
                <w:i/>
                <w:spacing w:val="27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green</w:t>
            </w:r>
            <w:r>
              <w:rPr>
                <w:i/>
                <w:spacing w:val="26"/>
                <w:w w:val="105"/>
                <w:sz w:val="20"/>
              </w:rPr>
              <w:t> </w:t>
            </w:r>
            <w:r>
              <w:rPr>
                <w:i/>
                <w:spacing w:val="-2"/>
                <w:w w:val="105"/>
                <w:sz w:val="20"/>
              </w:rPr>
              <w:t>jobs.</w:t>
            </w:r>
          </w:p>
        </w:tc>
      </w:tr>
      <w:tr>
        <w:trPr>
          <w:trHeight w:val="579" w:hRule="atLeast"/>
        </w:trPr>
        <w:tc>
          <w:tcPr>
            <w:tcW w:w="10800" w:type="dxa"/>
            <w:gridSpan w:val="6"/>
            <w:tcBorders>
              <w:top w:val="double" w:sz="8" w:space="0" w:color="000000"/>
            </w:tcBorders>
            <w:shd w:val="clear" w:color="auto" w:fill="F2F2F2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  <w:bookmarkStart w:name="Description " w:id="3"/>
            <w:bookmarkEnd w:id="3"/>
            <w:r>
              <w:rPr/>
            </w:r>
            <w:r>
              <w:rPr>
                <w:b/>
                <w:spacing w:val="-2"/>
                <w:w w:val="115"/>
                <w:sz w:val="24"/>
              </w:rPr>
              <w:t>Description</w:t>
            </w:r>
          </w:p>
        </w:tc>
      </w:tr>
      <w:tr>
        <w:trPr>
          <w:trHeight w:val="4480" w:hRule="atLeast"/>
        </w:trPr>
        <w:tc>
          <w:tcPr>
            <w:tcW w:w="10800" w:type="dxa"/>
            <w:gridSpan w:val="6"/>
            <w:tcBorders>
              <w:bottom w:val="double" w:sz="8" w:space="0" w:color="000000"/>
            </w:tcBorders>
          </w:tcPr>
          <w:p>
            <w:pPr>
              <w:pStyle w:val="TableParagraph"/>
              <w:spacing w:line="285" w:lineRule="auto" w:before="113"/>
              <w:ind w:right="136"/>
              <w:rPr>
                <w:sz w:val="20"/>
              </w:rPr>
            </w:pPr>
            <w:r>
              <w:rPr>
                <w:w w:val="110"/>
                <w:sz w:val="20"/>
              </w:rPr>
              <w:t>The Climate Justice Plan aims to create a just and sustainable future where every community member has access to wealth-building opportunities and green jobs. Green jobs expand beyond traditional sectors like construction and</w:t>
            </w:r>
            <w:r>
              <w:rPr>
                <w:w w:val="110"/>
                <w:sz w:val="20"/>
              </w:rPr>
              <w:t> clean energy to focus on all industries and communities. These jobs not only address climate change but also improve working conditions in undervalued sectors such as caregiving and education.</w:t>
            </w:r>
          </w:p>
          <w:p>
            <w:pPr>
              <w:pStyle w:val="TableParagraph"/>
              <w:spacing w:line="285" w:lineRule="auto" w:before="98"/>
              <w:rPr>
                <w:sz w:val="20"/>
              </w:rPr>
            </w:pPr>
            <w:r>
              <w:rPr>
                <w:w w:val="105"/>
                <w:sz w:val="20"/>
              </w:rPr>
              <w:t>Assets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critical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creating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security,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protecting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against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income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disruptions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ﬁnancial emergencies,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helping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households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build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intergenerational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wealth.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same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time,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Black,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Indigenous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other people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color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experience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systemic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barriers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employment,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creation,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home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ownership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other</w:t>
            </w:r>
          </w:p>
          <w:p>
            <w:pPr>
              <w:pStyle w:val="TableParagraph"/>
              <w:spacing w:line="285" w:lineRule="auto"/>
              <w:ind w:right="136"/>
              <w:rPr>
                <w:sz w:val="20"/>
              </w:rPr>
            </w:pPr>
            <w:r>
              <w:rPr>
                <w:w w:val="105"/>
                <w:sz w:val="20"/>
              </w:rPr>
              <w:t>wealth-building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opportunities.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example,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according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Black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Association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Oregon’s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Black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Prosperity Dashboard,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Black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Oregonians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own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homes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lower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rates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less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household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income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white counterparts.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disparities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often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result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factors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like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racism,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age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discrimination,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language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barriers,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wealth disparities,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limited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programs.</w:t>
            </w:r>
          </w:p>
          <w:p>
            <w:pPr>
              <w:pStyle w:val="TableParagraph"/>
              <w:spacing w:line="285" w:lineRule="auto" w:before="95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inequities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frontline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communities,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essential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create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just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inclusive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green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economy. Workforce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programs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only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equip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individuals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necessary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skills,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but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challenge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cultural biases and foster a welcoming environment within the green sector.</w:t>
            </w:r>
          </w:p>
        </w:tc>
      </w:tr>
      <w:tr>
        <w:trPr>
          <w:trHeight w:val="580" w:hRule="atLeast"/>
        </w:trPr>
        <w:tc>
          <w:tcPr>
            <w:tcW w:w="6260" w:type="dxa"/>
            <w:gridSpan w:val="4"/>
            <w:tcBorders>
              <w:top w:val="double" w:sz="8" w:space="0" w:color="000000"/>
            </w:tcBorders>
            <w:shd w:val="clear" w:color="auto" w:fill="4A773C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  <w:bookmarkStart w:name="Metrics " w:id="4"/>
            <w:bookmarkEnd w:id="4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Metrics</w:t>
            </w:r>
          </w:p>
        </w:tc>
        <w:tc>
          <w:tcPr>
            <w:tcW w:w="4540" w:type="dxa"/>
            <w:gridSpan w:val="2"/>
            <w:tcBorders>
              <w:top w:val="double" w:sz="8" w:space="0" w:color="000000"/>
            </w:tcBorders>
            <w:shd w:val="clear" w:color="auto" w:fill="4A773C"/>
          </w:tcPr>
          <w:p>
            <w:pPr>
              <w:pStyle w:val="TableParagraph"/>
              <w:spacing w:before="137"/>
              <w:ind w:left="104"/>
              <w:rPr>
                <w:b/>
                <w:sz w:val="24"/>
              </w:rPr>
            </w:pPr>
            <w:bookmarkStart w:name="Notes " w:id="5"/>
            <w:bookmarkEnd w:id="5"/>
            <w:r>
              <w:rPr/>
            </w:r>
            <w:r>
              <w:rPr>
                <w:b/>
                <w:color w:val="FFFFFF"/>
                <w:spacing w:val="-4"/>
                <w:w w:val="115"/>
                <w:sz w:val="24"/>
              </w:rPr>
              <w:t>Notes</w:t>
            </w:r>
          </w:p>
        </w:tc>
      </w:tr>
      <w:tr>
        <w:trPr>
          <w:trHeight w:val="759" w:hRule="atLeast"/>
        </w:trPr>
        <w:tc>
          <w:tcPr>
            <w:tcW w:w="6260" w:type="dxa"/>
            <w:gridSpan w:val="4"/>
            <w:shd w:val="clear" w:color="auto" w:fill="E1EBDE"/>
          </w:tcPr>
          <w:p>
            <w:pPr>
              <w:pStyle w:val="TableParagraph"/>
              <w:spacing w:line="285" w:lineRule="auto" w:before="109"/>
              <w:ind w:right="79"/>
              <w:rPr>
                <w:sz w:val="20"/>
              </w:rPr>
            </w:pPr>
            <w:bookmarkStart w:name="Rate of homeownership among Black, Indig" w:id="6"/>
            <w:bookmarkEnd w:id="6"/>
            <w:r>
              <w:rPr/>
            </w:r>
            <w:r>
              <w:rPr>
                <w:w w:val="105"/>
                <w:sz w:val="20"/>
              </w:rPr>
              <w:t>Rate of homeownership among Black, Indigenous and other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households of color</w:t>
            </w:r>
          </w:p>
        </w:tc>
        <w:tc>
          <w:tcPr>
            <w:tcW w:w="4540" w:type="dxa"/>
            <w:gridSpan w:val="2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260" w:type="dxa"/>
            <w:gridSpan w:val="4"/>
            <w:shd w:val="clear" w:color="auto" w:fill="E1EBDE"/>
          </w:tcPr>
          <w:p>
            <w:pPr>
              <w:pStyle w:val="TableParagraph"/>
              <w:spacing w:before="94"/>
              <w:rPr>
                <w:sz w:val="20"/>
              </w:rPr>
            </w:pPr>
            <w:bookmarkStart w:name="Racial wealth gap " w:id="7"/>
            <w:bookmarkEnd w:id="7"/>
            <w:r>
              <w:rPr/>
            </w:r>
            <w:r>
              <w:rPr>
                <w:w w:val="110"/>
                <w:sz w:val="20"/>
              </w:rPr>
              <w:t>Racial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wealth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gap</w:t>
            </w:r>
          </w:p>
        </w:tc>
        <w:tc>
          <w:tcPr>
            <w:tcW w:w="4540" w:type="dxa"/>
            <w:gridSpan w:val="2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6260" w:type="dxa"/>
            <w:gridSpan w:val="4"/>
            <w:shd w:val="clear" w:color="auto" w:fill="E1EBDE"/>
          </w:tcPr>
          <w:p>
            <w:pPr>
              <w:pStyle w:val="TableParagraph"/>
              <w:spacing w:before="89"/>
              <w:rPr>
                <w:sz w:val="20"/>
              </w:rPr>
            </w:pPr>
            <w:bookmarkStart w:name="Employment statistics from local governm" w:id="8"/>
            <w:bookmarkEnd w:id="8"/>
            <w:r>
              <w:rPr/>
            </w:r>
            <w:r>
              <w:rPr>
                <w:w w:val="105"/>
                <w:sz w:val="20"/>
              </w:rPr>
              <w:t>Employment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statistics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government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job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agencies</w:t>
            </w:r>
          </w:p>
        </w:tc>
        <w:tc>
          <w:tcPr>
            <w:tcW w:w="4540" w:type="dxa"/>
            <w:gridSpan w:val="2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0" w:hRule="atLeast"/>
        </w:trPr>
        <w:tc>
          <w:tcPr>
            <w:tcW w:w="6260" w:type="dxa"/>
            <w:gridSpan w:val="4"/>
            <w:shd w:val="clear" w:color="auto" w:fill="E1EBDE"/>
          </w:tcPr>
          <w:p>
            <w:pPr>
              <w:pStyle w:val="TableParagraph"/>
              <w:spacing w:line="285" w:lineRule="auto" w:before="104"/>
              <w:rPr>
                <w:sz w:val="20"/>
              </w:rPr>
            </w:pPr>
            <w:bookmarkStart w:name="Percentage of Black, Indigenous and othe" w:id="9"/>
            <w:bookmarkEnd w:id="9"/>
            <w:r>
              <w:rPr/>
            </w:r>
            <w:r>
              <w:rPr>
                <w:w w:val="110"/>
                <w:sz w:val="20"/>
              </w:rPr>
              <w:t>Percentage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Black,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Indigenous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other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people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color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“green </w:t>
            </w:r>
            <w:r>
              <w:rPr>
                <w:spacing w:val="-2"/>
                <w:w w:val="110"/>
                <w:sz w:val="20"/>
              </w:rPr>
              <w:t>jobs”</w:t>
            </w:r>
          </w:p>
        </w:tc>
        <w:tc>
          <w:tcPr>
            <w:tcW w:w="4540" w:type="dxa"/>
            <w:gridSpan w:val="2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6260" w:type="dxa"/>
            <w:gridSpan w:val="4"/>
            <w:shd w:val="clear" w:color="auto" w:fill="E1EBDE"/>
          </w:tcPr>
          <w:p>
            <w:pPr>
              <w:pStyle w:val="TableParagraph"/>
              <w:spacing w:before="88"/>
              <w:rPr>
                <w:sz w:val="20"/>
              </w:rPr>
            </w:pPr>
            <w:bookmarkStart w:name="Reduction in barriers to accessing green" w:id="10"/>
            <w:bookmarkEnd w:id="10"/>
            <w:r>
              <w:rPr/>
            </w:r>
            <w:r>
              <w:rPr>
                <w:w w:val="110"/>
                <w:sz w:val="20"/>
              </w:rPr>
              <w:t>Reduction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barriers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accessing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green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jobs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training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programs</w:t>
            </w:r>
          </w:p>
        </w:tc>
        <w:tc>
          <w:tcPr>
            <w:tcW w:w="4540" w:type="dxa"/>
            <w:gridSpan w:val="2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9" w:hRule="atLeast"/>
        </w:trPr>
        <w:tc>
          <w:tcPr>
            <w:tcW w:w="6260" w:type="dxa"/>
            <w:gridSpan w:val="4"/>
            <w:tcBorders>
              <w:bottom w:val="double" w:sz="8" w:space="0" w:color="000000"/>
            </w:tcBorders>
            <w:shd w:val="clear" w:color="auto" w:fill="E1EBDE"/>
          </w:tcPr>
          <w:p>
            <w:pPr>
              <w:pStyle w:val="TableParagraph"/>
              <w:spacing w:line="285" w:lineRule="auto" w:before="103"/>
              <w:rPr>
                <w:sz w:val="20"/>
              </w:rPr>
            </w:pPr>
            <w:bookmarkStart w:name="Surveys of workers to assess job satisfa" w:id="11"/>
            <w:bookmarkEnd w:id="11"/>
            <w:r>
              <w:rPr/>
            </w:r>
            <w:r>
              <w:rPr>
                <w:w w:val="110"/>
                <w:sz w:val="20"/>
              </w:rPr>
              <w:t>Surveys of workers to assess job satisfaction, wage growth, and career mobility</w:t>
            </w:r>
          </w:p>
        </w:tc>
        <w:tc>
          <w:tcPr>
            <w:tcW w:w="4540" w:type="dxa"/>
            <w:gridSpan w:val="2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2820" w:type="dxa"/>
            <w:gridSpan w:val="2"/>
            <w:tcBorders>
              <w:top w:val="double" w:sz="8" w:space="0" w:color="000000"/>
            </w:tcBorders>
            <w:shd w:val="clear" w:color="auto" w:fill="2E6195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  <w:bookmarkStart w:name="Strategies " w:id="12"/>
            <w:bookmarkEnd w:id="12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Strategies</w:t>
            </w:r>
          </w:p>
        </w:tc>
        <w:tc>
          <w:tcPr>
            <w:tcW w:w="7980" w:type="dxa"/>
            <w:gridSpan w:val="4"/>
            <w:tcBorders>
              <w:top w:val="double" w:sz="8" w:space="0" w:color="000000"/>
            </w:tcBorders>
            <w:shd w:val="clear" w:color="auto" w:fill="2E6195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  <w:bookmarkStart w:name="Description " w:id="13"/>
            <w:bookmarkEnd w:id="13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Description</w:t>
            </w:r>
          </w:p>
        </w:tc>
      </w:tr>
      <w:tr>
        <w:trPr>
          <w:trHeight w:val="1599" w:hRule="atLeast"/>
        </w:trPr>
        <w:tc>
          <w:tcPr>
            <w:tcW w:w="2820" w:type="dxa"/>
            <w:gridSpan w:val="2"/>
            <w:shd w:val="clear" w:color="auto" w:fill="D4DEE9"/>
          </w:tcPr>
          <w:p>
            <w:pPr>
              <w:pStyle w:val="TableParagraph"/>
              <w:spacing w:line="285" w:lineRule="auto" w:before="121"/>
              <w:ind w:right="245"/>
              <w:rPr>
                <w:sz w:val="20"/>
              </w:rPr>
            </w:pPr>
            <w:bookmarkStart w:name="Support transition of fossil fuel workfo" w:id="14"/>
            <w:bookmarkEnd w:id="14"/>
            <w:r>
              <w:rPr/>
            </w:r>
            <w:r>
              <w:rPr>
                <w:w w:val="105"/>
                <w:sz w:val="20"/>
              </w:rPr>
              <w:t>Support transition of fossil fuel workforce to green energy jobs</w:t>
            </w:r>
          </w:p>
          <w:p>
            <w:pPr>
              <w:pStyle w:val="TableParagraph"/>
              <w:spacing w:line="247" w:lineRule="auto" w:before="97"/>
              <w:ind w:right="245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 of action: Advocacy; Mutual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spacing w:val="-4"/>
                <w:w w:val="105"/>
                <w:sz w:val="16"/>
              </w:rPr>
              <w:t>Aid</w:t>
            </w:r>
          </w:p>
        </w:tc>
        <w:tc>
          <w:tcPr>
            <w:tcW w:w="7980" w:type="dxa"/>
            <w:gridSpan w:val="4"/>
          </w:tcPr>
          <w:p>
            <w:pPr>
              <w:pStyle w:val="TableParagraph"/>
              <w:spacing w:line="285" w:lineRule="auto" w:before="120"/>
              <w:ind w:right="229"/>
              <w:rPr>
                <w:sz w:val="16"/>
              </w:rPr>
            </w:pPr>
            <w:bookmarkStart w:name="As the economy transitions from using fo" w:id="15"/>
            <w:bookmarkEnd w:id="15"/>
            <w:r>
              <w:rPr/>
            </w:r>
            <w:r>
              <w:rPr>
                <w:w w:val="105"/>
                <w:sz w:val="16"/>
              </w:rPr>
              <w:t>As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economy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transitions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using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fossil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fue</w:t>
            </w:r>
            <w:bookmarkStart w:name=" " w:id="16"/>
            <w:bookmarkEnd w:id="16"/>
            <w:r>
              <w:rPr>
                <w:w w:val="105"/>
                <w:sz w:val="16"/>
              </w:rPr>
              <w:t>l</w:t>
            </w:r>
            <w:r>
              <w:rPr>
                <w:w w:val="105"/>
                <w:sz w:val="16"/>
              </w:rPr>
              <w:t>s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renewable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energy,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workers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need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skills.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Oregon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represented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4.8%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total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employment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jobs in wind and solar generation already employ the most people. According to the State of Oregon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Employment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Department,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wind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turbine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technicians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solar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photovoltaic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installers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projected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 the fastest-growing green occupations in Oregon through 2032. Developing programs that support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workforce transition is a vital component of energy justice.</w:t>
            </w:r>
          </w:p>
        </w:tc>
      </w:tr>
    </w:tbl>
    <w:p>
      <w:pPr>
        <w:pStyle w:val="TableParagraph"/>
        <w:spacing w:after="0" w:line="285" w:lineRule="auto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89" w:footer="392" w:top="1020" w:bottom="580" w:left="720" w:right="36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7980"/>
      </w:tblGrid>
      <w:tr>
        <w:trPr>
          <w:trHeight w:val="1840" w:hRule="atLeast"/>
        </w:trPr>
        <w:tc>
          <w:tcPr>
            <w:tcW w:w="2820" w:type="dxa"/>
            <w:shd w:val="clear" w:color="auto" w:fill="D4DEE9"/>
          </w:tcPr>
          <w:p>
            <w:pPr>
              <w:pStyle w:val="TableParagraph"/>
              <w:spacing w:line="285" w:lineRule="auto" w:before="120"/>
              <w:ind w:right="245"/>
              <w:rPr>
                <w:sz w:val="20"/>
              </w:rPr>
            </w:pPr>
            <w:bookmarkStart w:name="Develop a youth Climate Corps program " w:id="17"/>
            <w:bookmarkEnd w:id="17"/>
            <w:r>
              <w:rPr/>
            </w:r>
            <w:r>
              <w:rPr>
                <w:w w:val="110"/>
                <w:sz w:val="20"/>
              </w:rPr>
              <w:t>Develop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youth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Climate Corps program</w:t>
            </w:r>
          </w:p>
          <w:p>
            <w:pPr>
              <w:pStyle w:val="TableParagraph"/>
              <w:spacing w:line="247" w:lineRule="auto" w:before="97"/>
              <w:ind w:right="245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 of action: Create/fund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program; Advocacy</w:t>
            </w:r>
          </w:p>
        </w:tc>
        <w:tc>
          <w:tcPr>
            <w:tcW w:w="7980" w:type="dxa"/>
          </w:tcPr>
          <w:p>
            <w:pPr>
              <w:pStyle w:val="TableParagraph"/>
              <w:spacing w:line="285" w:lineRule="auto" w:before="119"/>
              <w:ind w:right="229"/>
              <w:rPr>
                <w:sz w:val="16"/>
              </w:rPr>
            </w:pPr>
            <w:bookmarkStart w:name="Youth, in many ways, are the most impact" w:id="18"/>
            <w:bookmarkEnd w:id="18"/>
            <w:r>
              <w:rPr/>
            </w:r>
            <w:r>
              <w:rPr>
                <w:w w:val="105"/>
                <w:sz w:val="16"/>
              </w:rPr>
              <w:t>Youth, in many ways, are the most impacted by climate change. Not only are young people often more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susceptible to environmental harms like air pollution, they also have to cope with a warming climate for 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entirety of their life course, which causes both physical and mental stress. Developing a youth climate corps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program will help young people feel empowered to be part of the solution while also providing jobs.</w:t>
            </w:r>
          </w:p>
          <w:p>
            <w:pPr>
              <w:pStyle w:val="TableParagraph"/>
              <w:spacing w:line="285" w:lineRule="auto"/>
              <w:ind w:right="142"/>
              <w:rPr>
                <w:sz w:val="16"/>
              </w:rPr>
            </w:pPr>
            <w:r>
              <w:rPr>
                <w:w w:val="105"/>
                <w:sz w:val="16"/>
              </w:rPr>
              <w:t>Multnomah County and other partners can work to modify and supplement existing youth employment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programs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create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youth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corps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works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address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resilience,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mitigation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care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needs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the community.</w:t>
            </w:r>
          </w:p>
        </w:tc>
      </w:tr>
      <w:tr>
        <w:trPr>
          <w:trHeight w:val="3539" w:hRule="atLeast"/>
        </w:trPr>
        <w:tc>
          <w:tcPr>
            <w:tcW w:w="2820" w:type="dxa"/>
            <w:shd w:val="clear" w:color="auto" w:fill="D4DEE9"/>
          </w:tcPr>
          <w:p>
            <w:pPr>
              <w:pStyle w:val="TableParagraph"/>
              <w:spacing w:line="285" w:lineRule="auto" w:before="108"/>
              <w:ind w:right="472"/>
              <w:rPr>
                <w:sz w:val="20"/>
              </w:rPr>
            </w:pPr>
            <w:bookmarkStart w:name="Provide comprehensive, high-quality serv" w:id="19"/>
            <w:bookmarkEnd w:id="19"/>
            <w:r>
              <w:rPr/>
            </w:r>
            <w:r>
              <w:rPr>
                <w:w w:val="110"/>
                <w:sz w:val="20"/>
              </w:rPr>
              <w:t>Provide comprehensive, high-quality services, </w:t>
            </w:r>
            <w:r>
              <w:rPr>
                <w:spacing w:val="-2"/>
                <w:w w:val="110"/>
                <w:sz w:val="20"/>
              </w:rPr>
              <w:t>including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priority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support </w:t>
            </w:r>
            <w:r>
              <w:rPr>
                <w:w w:val="110"/>
                <w:sz w:val="20"/>
              </w:rPr>
              <w:t>services for people in workforce programs</w:t>
            </w:r>
          </w:p>
          <w:p>
            <w:pPr>
              <w:pStyle w:val="TableParagraph"/>
              <w:spacing w:before="96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Type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of</w:t>
            </w:r>
            <w:r>
              <w:rPr>
                <w:i/>
                <w:spacing w:val="-7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action:</w:t>
            </w:r>
            <w:r>
              <w:rPr>
                <w:i/>
                <w:spacing w:val="-7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Advocacy</w:t>
            </w:r>
          </w:p>
        </w:tc>
        <w:tc>
          <w:tcPr>
            <w:tcW w:w="7980" w:type="dxa"/>
          </w:tcPr>
          <w:p>
            <w:pPr>
              <w:pStyle w:val="TableParagraph"/>
              <w:spacing w:line="285" w:lineRule="auto" w:before="107"/>
              <w:ind w:right="395"/>
              <w:rPr>
                <w:sz w:val="16"/>
              </w:rPr>
            </w:pPr>
            <w:bookmarkStart w:name="Workforce programs are vital for helping" w:id="20"/>
            <w:bookmarkEnd w:id="20"/>
            <w:r>
              <w:rPr/>
            </w:r>
            <w:r>
              <w:rPr>
                <w:w w:val="105"/>
                <w:sz w:val="16"/>
              </w:rPr>
              <w:t>Workforce programs are vital for helping people develop job readiness skills, gain exposure to diﬀerent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career pathways, and develop the skills and connections needed to enter a career pathway. But for many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 who could beneﬁt the most from workforce programs, barriers like childcare, food assistance,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housing, limiting their ability to participate. Additional supports are needed, including: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3" w:val="left" w:leader="none"/>
              </w:tabs>
              <w:spacing w:line="240" w:lineRule="auto" w:before="98" w:after="0"/>
              <w:ind w:left="813" w:right="0" w:hanging="359"/>
              <w:jc w:val="both"/>
              <w:rPr>
                <w:rFonts w:ascii="Arial" w:hAnsi="Arial"/>
                <w:sz w:val="16"/>
              </w:rPr>
            </w:pPr>
            <w:bookmarkStart w:name="●​Mental Health Services: Integrate ment" w:id="21"/>
            <w:bookmarkEnd w:id="21"/>
            <w:r>
              <w:rPr/>
            </w:r>
            <w:r>
              <w:rPr>
                <w:b/>
                <w:w w:val="105"/>
                <w:sz w:val="16"/>
              </w:rPr>
              <w:t>Mental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Health</w:t>
            </w:r>
            <w:r>
              <w:rPr>
                <w:b/>
                <w:spacing w:val="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Services:</w:t>
            </w:r>
            <w:r>
              <w:rPr>
                <w:b/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Integrate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mental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health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into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workforce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85" w:lineRule="auto" w:before="36" w:after="0"/>
              <w:ind w:left="814" w:right="323" w:hanging="360"/>
              <w:jc w:val="both"/>
              <w:rPr>
                <w:rFonts w:ascii="Arial" w:hAnsi="Arial"/>
                <w:sz w:val="16"/>
              </w:rPr>
            </w:pPr>
            <w:bookmarkStart w:name="●​Integrated Case Management: Support co" w:id="22"/>
            <w:bookmarkEnd w:id="22"/>
            <w:r>
              <w:rPr/>
            </w:r>
            <w:r>
              <w:rPr>
                <w:b/>
                <w:w w:val="110"/>
                <w:sz w:val="16"/>
              </w:rPr>
              <w:t>Integrated Case Management: </w:t>
            </w:r>
            <w:r>
              <w:rPr>
                <w:w w:val="110"/>
                <w:sz w:val="16"/>
              </w:rPr>
              <w:t>Support community-based organizations that empower Black,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Indigenous,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other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elders,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youth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low-income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individuals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of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color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participate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climate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decision-making.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85" w:lineRule="auto" w:before="0" w:after="0"/>
              <w:ind w:left="814" w:right="367" w:hanging="360"/>
              <w:jc w:val="both"/>
              <w:rPr>
                <w:rFonts w:ascii="Arial" w:hAnsi="Arial"/>
                <w:sz w:val="16"/>
              </w:rPr>
            </w:pPr>
            <w:bookmarkStart w:name="●​Resource Provision: Offer financial as" w:id="23"/>
            <w:bookmarkEnd w:id="23"/>
            <w:r>
              <w:rPr/>
            </w:r>
            <w:r>
              <w:rPr>
                <w:b/>
                <w:w w:val="110"/>
                <w:sz w:val="16"/>
              </w:rPr>
              <w:t>Resource Provision: </w:t>
            </w:r>
            <w:r>
              <w:rPr>
                <w:w w:val="110"/>
                <w:sz w:val="16"/>
              </w:rPr>
              <w:t>Oﬀer ﬁnancial assistance for transportation, childcare and other essential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needs.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85" w:lineRule="auto" w:before="0" w:after="0"/>
              <w:ind w:left="814" w:right="707" w:hanging="360"/>
              <w:jc w:val="left"/>
              <w:rPr>
                <w:rFonts w:ascii="Arial" w:hAnsi="Arial"/>
                <w:b/>
                <w:sz w:val="16"/>
              </w:rPr>
            </w:pPr>
            <w:bookmarkStart w:name="●​Provide language assistance and cultur" w:id="24"/>
            <w:bookmarkEnd w:id="24"/>
            <w:r>
              <w:rPr/>
            </w:r>
            <w:r>
              <w:rPr>
                <w:b/>
                <w:w w:val="115"/>
                <w:sz w:val="16"/>
              </w:rPr>
              <w:t>Provide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language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assistance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and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cultural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competency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training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for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workforce</w:t>
            </w:r>
            <w:r>
              <w:rPr>
                <w:b/>
                <w:spacing w:val="-5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training </w:t>
            </w:r>
            <w:r>
              <w:rPr>
                <w:b/>
                <w:spacing w:val="-2"/>
                <w:w w:val="115"/>
                <w:sz w:val="16"/>
              </w:rPr>
              <w:t>providers.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85" w:lineRule="auto" w:before="0" w:after="0"/>
              <w:ind w:left="814" w:right="96" w:hanging="360"/>
              <w:jc w:val="left"/>
              <w:rPr>
                <w:rFonts w:ascii="Arial" w:hAnsi="Arial"/>
                <w:sz w:val="16"/>
              </w:rPr>
            </w:pPr>
            <w:bookmarkStart w:name="●​Provide childcare assistance: Assist l" w:id="25"/>
            <w:bookmarkEnd w:id="25"/>
            <w:r>
              <w:rPr/>
            </w:r>
            <w:r>
              <w:rPr>
                <w:b/>
                <w:w w:val="105"/>
                <w:sz w:val="16"/>
              </w:rPr>
              <w:t>Provide</w:t>
            </w:r>
            <w:r>
              <w:rPr>
                <w:b/>
                <w:spacing w:val="3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childcare</w:t>
            </w:r>
            <w:r>
              <w:rPr>
                <w:b/>
                <w:spacing w:val="3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assistance:</w:t>
            </w:r>
            <w:r>
              <w:rPr>
                <w:b/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Assist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low-income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families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needing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childcare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education and training in addition to other activities related to childcare quality and coordination.</w:t>
            </w:r>
          </w:p>
        </w:tc>
      </w:tr>
      <w:tr>
        <w:trPr>
          <w:trHeight w:val="1599" w:hRule="atLeast"/>
        </w:trPr>
        <w:tc>
          <w:tcPr>
            <w:tcW w:w="2820" w:type="dxa"/>
            <w:tcBorders>
              <w:bottom w:val="double" w:sz="8" w:space="0" w:color="000000"/>
            </w:tcBorders>
            <w:shd w:val="clear" w:color="auto" w:fill="D4DEE9"/>
          </w:tcPr>
          <w:p>
            <w:pPr>
              <w:pStyle w:val="TableParagraph"/>
              <w:spacing w:line="285" w:lineRule="auto" w:before="119"/>
              <w:rPr>
                <w:sz w:val="20"/>
              </w:rPr>
            </w:pPr>
            <w:bookmarkStart w:name="Develop a universal basic income (UBI) o" w:id="26"/>
            <w:bookmarkEnd w:id="26"/>
            <w:r>
              <w:rPr/>
            </w:r>
            <w:r>
              <w:rPr>
                <w:w w:val="105"/>
                <w:sz w:val="20"/>
              </w:rPr>
              <w:t>Develop a universal basic income (UBI) or guaranteed income program</w:t>
            </w:r>
          </w:p>
          <w:p>
            <w:pPr>
              <w:pStyle w:val="TableParagraph"/>
              <w:spacing w:line="247" w:lineRule="auto" w:before="97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Type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of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action: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Game</w:t>
            </w:r>
            <w:r>
              <w:rPr>
                <w:i/>
                <w:spacing w:val="-1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changer;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Advocacy</w:t>
            </w:r>
          </w:p>
        </w:tc>
        <w:tc>
          <w:tcPr>
            <w:tcW w:w="798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85" w:lineRule="auto" w:before="118"/>
              <w:ind w:right="229"/>
              <w:rPr>
                <w:sz w:val="16"/>
              </w:rPr>
            </w:pPr>
            <w:bookmarkStart w:name="Implementing a universal basic income (U" w:id="27"/>
            <w:bookmarkEnd w:id="27"/>
            <w:r>
              <w:rPr/>
            </w:r>
            <w:r>
              <w:rPr>
                <w:w w:val="105"/>
                <w:sz w:val="16"/>
              </w:rPr>
              <w:t>Implementing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universal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basic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income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(UBI)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guaranteed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income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Multnomah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provide a crucial safety net, reduce poverty, and support climate justice eﬀorts. However, it requires careful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consideration of funding mechanisms, program design, and eligibility. But, pilot programs from across the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country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have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shown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UBI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have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profound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beneﬁcial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lasting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low-income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households.</w:t>
            </w:r>
          </w:p>
        </w:tc>
      </w:tr>
      <w:tr>
        <w:trPr>
          <w:trHeight w:val="579" w:hRule="atLeast"/>
        </w:trPr>
        <w:tc>
          <w:tcPr>
            <w:tcW w:w="10800" w:type="dxa"/>
            <w:gridSpan w:val="2"/>
            <w:tcBorders>
              <w:top w:val="double" w:sz="8" w:space="0" w:color="000000"/>
            </w:tcBorders>
            <w:shd w:val="clear" w:color="auto" w:fill="F2F2F2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  <w:bookmarkStart w:name="Notes " w:id="28"/>
            <w:bookmarkEnd w:id="28"/>
            <w:r>
              <w:rPr/>
            </w:r>
            <w:r>
              <w:rPr>
                <w:b/>
                <w:spacing w:val="-4"/>
                <w:w w:val="115"/>
                <w:sz w:val="24"/>
              </w:rPr>
              <w:t>Notes</w:t>
            </w:r>
          </w:p>
        </w:tc>
      </w:tr>
      <w:tr>
        <w:trPr>
          <w:trHeight w:val="6000" w:hRule="atLeast"/>
        </w:trPr>
        <w:tc>
          <w:tcPr>
            <w:tcW w:w="108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header="189" w:footer="392" w:top="1020" w:bottom="5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7220649</wp:posOffset>
              </wp:positionH>
              <wp:positionV relativeFrom="page">
                <wp:posOffset>9669851</wp:posOffset>
              </wp:positionV>
              <wp:extent cx="14541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4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8.555115pt;margin-top:761.40564pt;width:11.45pt;height:12.1pt;mso-position-horizontal-relative:page;mso-position-vertical-relative:page;z-index:-15818240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6497613</wp:posOffset>
          </wp:positionH>
          <wp:positionV relativeFrom="page">
            <wp:posOffset>120201</wp:posOffset>
          </wp:positionV>
          <wp:extent cx="792577" cy="38053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577" cy="380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444500</wp:posOffset>
              </wp:positionH>
              <wp:positionV relativeFrom="page">
                <wp:posOffset>215900</wp:posOffset>
              </wp:positionV>
              <wp:extent cx="3862704" cy="2178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62704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Climate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Justice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Plan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Community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Forum</w:t>
                          </w:r>
                          <w:r>
                            <w:rPr>
                              <w:i/>
                              <w:color w:val="999999"/>
                              <w:spacing w:val="40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85"/>
                            </w:rPr>
                            <w:t>|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Green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spacing w:val="-4"/>
                              <w:w w:val="110"/>
                            </w:rPr>
                            <w:t>Jobs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17pt;width:304.150pt;height:17.150pt;mso-position-horizontal-relative:page;mso-position-vertical-relative:page;z-index:-158187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999999"/>
                        <w:w w:val="110"/>
                      </w:rPr>
                      <w:t>Climate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Justice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Plan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Community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Forum</w:t>
                    </w:r>
                    <w:r>
                      <w:rPr>
                        <w:i/>
                        <w:color w:val="999999"/>
                        <w:spacing w:val="40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85"/>
                      </w:rPr>
                      <w:t>|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Green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spacing w:val="-4"/>
                        <w:w w:val="110"/>
                      </w:rPr>
                      <w:t>Jobs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CJP Forum Worksheet - Green Jobs</dc:title>
  <dcterms:created xsi:type="dcterms:W3CDTF">2025-10-13T23:02:32Z</dcterms:created>
  <dcterms:modified xsi:type="dcterms:W3CDTF">2025-10-13T23:02:32Z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Skia/PDF m143 Google Docs Renderer</vt:lpwstr>
  </property>
</Properties>
</file>