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18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Department of County Human Services </w:t>
      </w:r>
    </w:p>
    <w:p w:rsidR="00000000" w:rsidDel="00000000" w:rsidP="00000000" w:rsidRDefault="00000000" w:rsidRPr="00000000" w14:paraId="00000002">
      <w:pPr>
        <w:rPr>
          <w:b w:val="1"/>
          <w:bCs w:val="1"/>
          <w:color w:val="346094"/>
          <w:sz w:val="48"/>
          <w:szCs w:val="48"/>
        </w:rPr>
      </w:pPr>
      <w:r w:rsidDel="00000000" w:rsidR="00000000" w:rsidRPr="00000000">
        <w:rPr>
          <w:b w:val="1"/>
          <w:bCs w:val="1"/>
          <w:color w:val="346094"/>
          <w:sz w:val="48"/>
          <w:szCs w:val="48"/>
          <w:rtl w:val="0"/>
        </w:rPr>
        <w:t xml:space="preserve">Community Budget Advisory Committee</w:t>
      </w:r>
    </w:p>
    <w:p w:rsidR="00000000" w:rsidDel="00000000" w:rsidP="00000000" w:rsidRDefault="00000000" w:rsidRPr="00000000" w14:paraId="00000003">
      <w:pPr>
        <w:rPr>
          <w:b w:val="1"/>
          <w:bCs w:val="1"/>
          <w:color w:val="666666"/>
          <w:sz w:val="28"/>
          <w:szCs w:val="28"/>
        </w:rPr>
      </w:pPr>
      <w:r w:rsidDel="00000000" w:rsidR="00000000" w:rsidRPr="00000000">
        <w:rPr>
          <w:b w:val="1"/>
          <w:bCs w:val="1"/>
          <w:color w:val="666666"/>
          <w:sz w:val="28"/>
          <w:szCs w:val="28"/>
          <w:rtl w:val="0"/>
        </w:rPr>
        <w:t xml:space="preserve">AGENDA &amp; MINUTES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bCs w:val="1"/>
          <w:color w:val="212121"/>
          <w:sz w:val="21"/>
          <w:szCs w:val="21"/>
        </w:rPr>
      </w:pPr>
      <w:hyperlink r:id="rId6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Vision:</w:t>
        </w:r>
      </w:hyperlink>
      <w:r w:rsidDel="00000000" w:rsidR="00000000" w:rsidRPr="00000000">
        <w:rPr>
          <w:color w:val="212121"/>
          <w:sz w:val="21"/>
          <w:szCs w:val="21"/>
          <w:rtl w:val="0"/>
        </w:rPr>
        <w:t xml:space="preserve"> </w:t>
      </w:r>
      <w:r w:rsidDel="00000000" w:rsidR="00000000" w:rsidRPr="00000000">
        <w:rPr>
          <w:b w:val="1"/>
          <w:bCs w:val="1"/>
          <w:color w:val="212121"/>
          <w:sz w:val="21"/>
          <w:szCs w:val="21"/>
          <w:rtl w:val="0"/>
        </w:rPr>
        <w:t xml:space="preserve">The DCHS North Star: Every person -at every stage of life- has equitable opportunities to thrive.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color w:val="212121"/>
          <w:sz w:val="21"/>
          <w:szCs w:val="21"/>
          <w:rtl w:val="0"/>
        </w:rPr>
        <w:t xml:space="preserve">Priorities: </w:t>
      </w:r>
      <w:r w:rsidDel="00000000" w:rsidR="00000000" w:rsidRPr="00000000">
        <w:rPr>
          <w:b w:val="1"/>
          <w:bCs w:val="1"/>
          <w:color w:val="212121"/>
          <w:sz w:val="21"/>
          <w:szCs w:val="21"/>
          <w:rtl w:val="0"/>
        </w:rPr>
        <w:t xml:space="preserve">Our Four Pillars: Quality of Life ~ Educational Access &amp; Support ~ Economic Stability ~ Diverse &amp; Inclusive Systems</w:t>
      </w:r>
      <w:r w:rsidDel="00000000" w:rsidR="00000000" w:rsidRPr="00000000">
        <w:rPr>
          <w:rtl w:val="0"/>
        </w:rPr>
      </w:r>
    </w:p>
    <w:tbl>
      <w:tblPr>
        <w:tblStyle w:val="Table1"/>
        <w:tblW w:w="14985.0" w:type="dxa"/>
        <w:jc w:val="left"/>
        <w:tblInd w:w="-1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0"/>
        <w:gridCol w:w="1875"/>
        <w:gridCol w:w="825"/>
        <w:gridCol w:w="2520"/>
        <w:gridCol w:w="1815"/>
        <w:gridCol w:w="3165"/>
        <w:gridCol w:w="2835"/>
        <w:gridCol w:w="420"/>
        <w:tblGridChange w:id="0">
          <w:tblGrid>
            <w:gridCol w:w="1530"/>
            <w:gridCol w:w="1875"/>
            <w:gridCol w:w="825"/>
            <w:gridCol w:w="2520"/>
            <w:gridCol w:w="1815"/>
            <w:gridCol w:w="3165"/>
            <w:gridCol w:w="2835"/>
            <w:gridCol w:w="420"/>
          </w:tblGrid>
        </w:tblGridChange>
      </w:tblGrid>
      <w:tr>
        <w:trPr>
          <w:cantSplit w:val="0"/>
          <w:trHeight w:val="1290" w:hRule="atLeast"/>
          <w:tblHeader w:val="0"/>
        </w:trPr>
        <w:tc>
          <w:tcPr>
            <w:tcBorders>
              <w:top w:color="212121" w:space="0" w:sz="8" w:val="single"/>
              <w:left w:color="000000" w:space="0" w:sz="0" w:val="nil"/>
              <w:bottom w:color="212121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ind w:left="270" w:firstLine="0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Calendar Event:</w:t>
            </w:r>
          </w:p>
        </w:tc>
        <w:tc>
          <w:tcPr>
            <w:gridSpan w:val="3"/>
            <w:tcBorders>
              <w:top w:color="212121" w:space="0" w:sz="8" w:val="single"/>
              <w:left w:color="000000" w:space="0" w:sz="0" w:val="nil"/>
              <w:bottom w:color="212121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hyperlink r:id="rId7">
              <w:r w:rsidDel="00000000" w:rsidR="00000000" w:rsidRPr="00000000">
                <w:rPr>
                  <w:color w:val="0000ee"/>
                  <w:u w:val="single"/>
                  <w:rtl w:val="0"/>
                </w:rPr>
                <w:t xml:space="preserve">DCHS CBAC Monthly Meeting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8" w:val="single"/>
              <w:left w:color="212121" w:space="0" w:sz="8" w:val="dotted"/>
              <w:bottom w:color="000000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ind w:right="500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Facilitator:</w:t>
            </w:r>
          </w:p>
        </w:tc>
        <w:tc>
          <w:tcPr>
            <w:tcBorders>
              <w:top w:color="666666" w:space="0" w:sz="8" w:val="single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Becky Graham</w:t>
            </w:r>
          </w:p>
        </w:tc>
        <w:tc>
          <w:tcPr>
            <w:tcBorders>
              <w:top w:color="666666" w:space="0" w:sz="8" w:val="single"/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ind w:right="370"/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Minute Taker: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8">
              <w:r w:rsidDel="00000000" w:rsidR="00000000" w:rsidRPr="00000000">
                <w:rPr>
                  <w:color w:val="0000ee"/>
                  <w:u w:val="single"/>
                  <w:rtl w:val="0"/>
                </w:rPr>
                <w:t xml:space="preserve">Emily Shultz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8" w:val="single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ind w:left="-1079.999999999999" w:right="2265" w:firstLine="0"/>
              <w:rPr/>
            </w:pPr>
            <w:r w:rsidDel="00000000" w:rsidR="00000000" w:rsidRPr="00000000">
              <w:rPr>
                <w:rtl w:val="0"/>
              </w:rPr>
              <w:t xml:space="preserve">Tahira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Date:</w:t>
            </w:r>
          </w:p>
        </w:tc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Oct 21, 2025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Time:</w:t>
            </w:r>
          </w:p>
        </w:tc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dotted"/>
              <w:right w:color="212121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5:30 PM - 7:00 PM</w:t>
            </w:r>
          </w:p>
        </w:tc>
        <w:tc>
          <w:tcPr>
            <w:tcBorders>
              <w:top w:color="000000" w:space="0" w:sz="8" w:val="dotted"/>
              <w:left w:color="212121" w:space="0" w:sz="8" w:val="dotted"/>
              <w:bottom w:color="000000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Attendance:</w:t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Location:</w:t>
            </w:r>
          </w:p>
        </w:tc>
        <w:tc>
          <w:tcPr>
            <w:gridSpan w:val="3"/>
            <w:tcBorders>
              <w:top w:color="212121" w:space="0" w:sz="8" w:val="dotted"/>
              <w:left w:color="000000" w:space="0" w:sz="0" w:val="nil"/>
              <w:bottom w:color="212121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Five Oak building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209 SW 4th Ave. Portland, OR 97204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[Enter through the SW Oak Ave doors]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1st floor - Pine conference room</w:t>
            </w:r>
          </w:p>
        </w:tc>
        <w:tc>
          <w:tcPr>
            <w:tcBorders>
              <w:top w:color="000000" w:space="0" w:sz="8" w:val="dotted"/>
              <w:left w:color="212121" w:space="0" w:sz="8" w:val="dotted"/>
              <w:bottom w:color="666666" w:space="0" w:sz="8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Absent:</w:t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0" w:val="nil"/>
              <w:bottom w:color="666666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ind w:right="4410"/>
              <w:rPr/>
            </w:pPr>
            <w:r w:rsidDel="00000000" w:rsidR="00000000" w:rsidRPr="00000000">
              <w:rPr>
                <w:rtl w:val="0"/>
              </w:rPr>
              <w:t xml:space="preserve">April Ybarra Black</w:t>
            </w:r>
          </w:p>
        </w:tc>
      </w:tr>
    </w:tbl>
    <w:p w:rsidR="00000000" w:rsidDel="00000000" w:rsidP="00000000" w:rsidRDefault="00000000" w:rsidRPr="00000000" w14:paraId="00000022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8"/>
        </w:numPr>
        <w:ind w:left="720" w:hanging="360"/>
        <w:rPr>
          <w:sz w:val="21"/>
          <w:szCs w:val="21"/>
          <w:u w:val="none"/>
        </w:rPr>
      </w:pPr>
      <w:hyperlink w:anchor="_9mqpxbdt5oek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Future Agenda Items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8"/>
        </w:numPr>
        <w:ind w:left="720" w:hanging="360"/>
        <w:rPr>
          <w:sz w:val="21"/>
          <w:szCs w:val="21"/>
          <w:u w:val="none"/>
        </w:rPr>
      </w:pPr>
      <w:hyperlink w:anchor="_9c2q8qe2dts9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Resources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4505.0" w:type="dxa"/>
        <w:jc w:val="left"/>
        <w:tblInd w:w="3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2025"/>
        <w:gridCol w:w="1635"/>
        <w:gridCol w:w="945"/>
        <w:gridCol w:w="7995"/>
        <w:tblGridChange w:id="0">
          <w:tblGrid>
            <w:gridCol w:w="1905"/>
            <w:gridCol w:w="2025"/>
            <w:gridCol w:w="1635"/>
            <w:gridCol w:w="945"/>
            <w:gridCol w:w="799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Topic</w:t>
            </w:r>
          </w:p>
        </w:tc>
        <w:tc>
          <w:tcPr>
            <w:tcBorders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Desired Outcomes/Task</w:t>
            </w:r>
          </w:p>
        </w:tc>
        <w:tc>
          <w:tcPr>
            <w:tcBorders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Lead</w:t>
            </w:r>
          </w:p>
        </w:tc>
        <w:tc>
          <w:tcPr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right="608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Minutes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Welcome &amp; Agenda Review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Review agenda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Becky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5:30 PM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(15 mins)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numPr>
                <w:ilvl w:val="0"/>
                <w:numId w:val="6"/>
              </w:numPr>
              <w:spacing w:line="240" w:lineRule="auto"/>
              <w:ind w:left="720" w:right="45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Agenda review and introductions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6"/>
              </w:numPr>
              <w:spacing w:line="240" w:lineRule="auto"/>
              <w:ind w:left="720" w:right="45" w:hanging="360"/>
              <w:rPr>
                <w:u w:val="none"/>
              </w:rPr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CBAC Policy Manual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Budget updates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Budget Modifications Update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Robert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(15 mins)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numPr>
                <w:ilvl w:val="0"/>
                <w:numId w:val="4"/>
              </w:numPr>
              <w:ind w:left="720" w:hanging="360"/>
              <w:rPr/>
            </w:pPr>
            <w:hyperlink r:id="rId10">
              <w:r w:rsidDel="00000000" w:rsidR="00000000" w:rsidRPr="00000000">
                <w:rPr>
                  <w:color w:val="0000ee"/>
                  <w:u w:val="single"/>
                  <w:rtl w:val="0"/>
                </w:rPr>
                <w:t xml:space="preserve">FY 2026 DCHS Rebalance Overview – CBAC.pdf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Keep in mind that July starts FY26, our discussions will be about FY27, we make budget modifications (aka budmods) and rebalances (which are like large modifications)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Increased budget by $617K, 4 large divisions- ADVSD/IDD increased funding, YFS saw a reduction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 large chunk of growth are match funds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Question re: housing and why it is housed under YFS</w:t>
            </w:r>
          </w:p>
          <w:p w:rsidR="00000000" w:rsidDel="00000000" w:rsidP="00000000" w:rsidRDefault="00000000" w:rsidRPr="00000000" w14:paraId="0000003B">
            <w:pPr>
              <w:numPr>
                <w:ilvl w:val="1"/>
                <w:numId w:val="4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DCHS has prioritized families with children, which is why housing was under YFS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Question re: roadbumps</w:t>
            </w:r>
          </w:p>
          <w:p w:rsidR="00000000" w:rsidDel="00000000" w:rsidP="00000000" w:rsidRDefault="00000000" w:rsidRPr="00000000" w14:paraId="0000003D">
            <w:pPr>
              <w:numPr>
                <w:ilvl w:val="1"/>
                <w:numId w:val="4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Less funds everywhere, everything going in the wrong direction</w:t>
            </w:r>
          </w:p>
          <w:p w:rsidR="00000000" w:rsidDel="00000000" w:rsidP="00000000" w:rsidRDefault="00000000" w:rsidRPr="00000000" w14:paraId="0000003E">
            <w:pPr>
              <w:numPr>
                <w:ilvl w:val="1"/>
                <w:numId w:val="4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PFA is now half our budget in FY27 (which makes it look like our budget is growing but it’s not spread across the programs)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Question re: balanced budget or revenue?</w:t>
            </w:r>
          </w:p>
          <w:p w:rsidR="00000000" w:rsidDel="00000000" w:rsidP="00000000" w:rsidRDefault="00000000" w:rsidRPr="00000000" w14:paraId="00000040">
            <w:pPr>
              <w:numPr>
                <w:ilvl w:val="1"/>
                <w:numId w:val="4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General fund + whatever revenue we have total the amount of expenditures, we have a balanced budget, we do not run a deficit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DCHS Equity presentation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Inform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 Richard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(30 mins)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numPr>
                <w:ilvl w:val="0"/>
                <w:numId w:val="5"/>
              </w:numPr>
              <w:ind w:left="720" w:hanging="360"/>
              <w:rPr/>
            </w:pPr>
            <w:r w:rsidDel="00000000" w:rsidR="00000000" w:rsidRPr="00000000">
              <w:rPr>
                <w:color w:val="303030"/>
                <w:rtl w:val="0"/>
              </w:rPr>
              <w:t xml:space="preserve">Discussion of utilizing equity/empowerment lens (People, Place, Process, Power) to review program offerings when the budget is being developed.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5"/>
              </w:numPr>
              <w:ind w:left="720" w:hanging="360"/>
              <w:rPr>
                <w:color w:val="303030"/>
                <w:u w:val="none"/>
              </w:rPr>
            </w:pPr>
            <w:r w:rsidDel="00000000" w:rsidR="00000000" w:rsidRPr="00000000">
              <w:rPr>
                <w:color w:val="303030"/>
                <w:rtl w:val="0"/>
              </w:rPr>
              <w:t xml:space="preserve">Dr. Richard’s definition of equity: where’s the barrier? What is prohibiting families from accessing our services? Access- who doesn’t have access? Equity is not fairness. Equity is about how we meet the needs of constituents- specific needs.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5"/>
              </w:numPr>
              <w:ind w:left="720" w:hanging="360"/>
              <w:rPr>
                <w:color w:val="303030"/>
                <w:u w:val="none"/>
              </w:rPr>
            </w:pPr>
            <w:r w:rsidDel="00000000" w:rsidR="00000000" w:rsidRPr="00000000">
              <w:rPr>
                <w:color w:val="303030"/>
                <w:rtl w:val="0"/>
              </w:rPr>
              <w:t xml:space="preserve">Question re reducing program offerings: how do we know we’re not missing something? What tools do we have?</w:t>
            </w:r>
          </w:p>
          <w:p w:rsidR="00000000" w:rsidDel="00000000" w:rsidP="00000000" w:rsidRDefault="00000000" w:rsidRPr="00000000" w14:paraId="00000048">
            <w:pPr>
              <w:numPr>
                <w:ilvl w:val="1"/>
                <w:numId w:val="5"/>
              </w:numPr>
              <w:ind w:left="1440" w:hanging="360"/>
              <w:rPr>
                <w:color w:val="303030"/>
                <w:u w:val="none"/>
              </w:rPr>
            </w:pPr>
            <w:r w:rsidDel="00000000" w:rsidR="00000000" w:rsidRPr="00000000">
              <w:rPr>
                <w:color w:val="303030"/>
                <w:rtl w:val="0"/>
              </w:rPr>
              <w:t xml:space="preserve">Do we have community partners who can fill the need if we can’t do it?</w:t>
            </w:r>
          </w:p>
          <w:p w:rsidR="00000000" w:rsidDel="00000000" w:rsidP="00000000" w:rsidRDefault="00000000" w:rsidRPr="00000000" w14:paraId="00000049">
            <w:pPr>
              <w:numPr>
                <w:ilvl w:val="1"/>
                <w:numId w:val="5"/>
              </w:numPr>
              <w:ind w:left="1440" w:hanging="360"/>
              <w:rPr>
                <w:color w:val="303030"/>
                <w:u w:val="none"/>
              </w:rPr>
            </w:pPr>
            <w:r w:rsidDel="00000000" w:rsidR="00000000" w:rsidRPr="00000000">
              <w:rPr>
                <w:color w:val="303030"/>
                <w:rtl w:val="0"/>
              </w:rPr>
              <w:t xml:space="preserve">Never approaches the task with ‘what’s missing’, just what’s in front of him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5"/>
              </w:numPr>
              <w:ind w:left="720" w:hanging="360"/>
              <w:rPr>
                <w:color w:val="303030"/>
                <w:u w:val="none"/>
              </w:rPr>
            </w:pPr>
            <w:r w:rsidDel="00000000" w:rsidR="00000000" w:rsidRPr="00000000">
              <w:rPr>
                <w:color w:val="303030"/>
                <w:rtl w:val="0"/>
              </w:rPr>
              <w:t xml:space="preserve">Question re role: budget is the external part of what Dr. Richard does, internal work is with Division Directors, HR, onboarding, recruitment, retention, etc.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Department Orientation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Inform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Rachel / Alexis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(30 mins)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numPr>
                <w:ilvl w:val="0"/>
                <w:numId w:val="3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Second largest division in the county from budget perspective</w:t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4 divisions, 4 large priorities - we serve clients over the lifespan (birth to end of life)- center people as the heroes in their own stories, they are the experts in their own lives</w:t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ADVSD is largest division budgetwise, PEL will take that over in next budget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Director’s office- HR, comms team, strategic planning team, emergency management (ESF-6/mass care in response to emergency declaration/severe weather), pilot programs- newcomer support service for asylum seekers, Medicare 1115 Waiver started in Director’s Office, Equity &amp; Inclusion team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ADVSD serves 18+ - investigates  allegations of abuse, veteran’s services (housing, stability, employment), in-home residential care centers, community based services, community access (24 hr hotline for case management, benefits, food, etc.)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IDD focused on person centered services- Medicaid based programs (like IDD)- grew 30% over the last biennium, serving 20% of all eligible individuals across Oregon. Provide employment services, intake and eligibility. Working more closely with advisory councils so that individuals are centered in the space and drive decision making.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Question re 20% growth: funding grows based on forecasted data, in Multnomah County we always exceed #s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YFS- things go here that don’t fit elsewhere in the county, other divisions have a clear scope, YFS has the most of the general fund and we set eligibility for these. SUN- in 92 schools, nationally recognized model. DSVCO- provides support to survivors including housing, stabilization support. Housing &amp; stabilization program and energy assistance and weatherization also live in YFS. Medicaid 1115 waiver for housing. Provides safety net services to families, children, and individuals.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Preschool &amp; early learning- voted on in 2020 and passed, goal is to get to Universal Preschool by 2030- 3800 seats allocated by EOY. The governor tried to get a bill passed to stop collection of PFA taxes and the overwhelming response from the public was to continue PFA.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Question re timeline with budget: any tax changes impacting long term planning operate differently than our budget.</w:t>
            </w:r>
          </w:p>
          <w:p w:rsidR="00000000" w:rsidDel="00000000" w:rsidP="00000000" w:rsidRDefault="00000000" w:rsidRPr="00000000" w14:paraId="00000059">
            <w:pPr>
              <w:numPr>
                <w:ilvl w:val="1"/>
                <w:numId w:val="3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Note to prior question about balanced budget: dedicated fund for preschool and only for preschool, collecting more revenue than they are spending.</w:t>
            </w:r>
          </w:p>
          <w:p w:rsidR="00000000" w:rsidDel="00000000" w:rsidP="00000000" w:rsidRDefault="00000000" w:rsidRPr="00000000" w14:paraId="0000005A">
            <w:pPr>
              <w:numPr>
                <w:ilvl w:val="1"/>
                <w:numId w:val="3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Q: does the CBAC have a role in how they intersect with PFA tax work?</w:t>
            </w:r>
          </w:p>
          <w:p w:rsidR="00000000" w:rsidDel="00000000" w:rsidP="00000000" w:rsidRDefault="00000000" w:rsidRPr="00000000" w14:paraId="0000005B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The letter that they (CBAC) send deals with the County general funds- there are items intersecting- but they are looking more at program offerings. PFA is a ballot initiative and separate from the general fund. They don’t discuss in their letter- they can’t move money in or out of it.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Closing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Agreement on next steps including: 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Action items 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Future Agenda items/meetings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6:55 PM</w:t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(5 mins)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Action Items: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7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Emily to send updated numbers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7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Becky wants to compile what she wishes she knew about CBAC before she started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Next Meeting: 11/4/2025</w:t>
      </w:r>
    </w:p>
    <w:p w:rsidR="00000000" w:rsidDel="00000000" w:rsidP="00000000" w:rsidRDefault="00000000" w:rsidRPr="00000000" w14:paraId="00000069">
      <w:pPr>
        <w:rPr/>
      </w:pPr>
      <w:hyperlink r:id="rId11">
        <w:r w:rsidDel="00000000" w:rsidR="00000000" w:rsidRPr="00000000">
          <w:rPr>
            <w:color w:val="0000ee"/>
            <w:u w:val="single"/>
            <w:rtl w:val="0"/>
          </w:rPr>
          <w:t xml:space="preserve">FY 2026 DCHS CBAC Meeting dates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1"/>
        <w:rPr/>
      </w:pPr>
      <w:bookmarkStart w:colFirst="0" w:colLast="0" w:name="_9mqpxbdt5oek" w:id="0"/>
      <w:bookmarkEnd w:id="0"/>
      <w:r w:rsidDel="00000000" w:rsidR="00000000" w:rsidRPr="00000000">
        <w:rPr>
          <w:rtl w:val="0"/>
        </w:rPr>
        <w:t xml:space="preserve">Future Agenda Items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4580.0" w:type="dxa"/>
        <w:jc w:val="left"/>
        <w:tblInd w:w="2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2550"/>
        <w:gridCol w:w="1350"/>
        <w:gridCol w:w="1050"/>
        <w:gridCol w:w="7965"/>
        <w:tblGridChange w:id="0">
          <w:tblGrid>
            <w:gridCol w:w="1665"/>
            <w:gridCol w:w="2550"/>
            <w:gridCol w:w="1350"/>
            <w:gridCol w:w="1050"/>
            <w:gridCol w:w="796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Topic</w:t>
            </w:r>
          </w:p>
        </w:tc>
        <w:tc>
          <w:tcPr>
            <w:tcBorders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Desired Outcomes/Task</w:t>
            </w:r>
          </w:p>
        </w:tc>
        <w:tc>
          <w:tcPr>
            <w:tcBorders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Lead</w:t>
            </w:r>
          </w:p>
        </w:tc>
        <w:tc>
          <w:tcPr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ind w:right="581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Scheduling Notes</w:t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Arial" w:cs="Arial" w:eastAsia="Arial" w:hAnsi="Arial"/>
                <w:color w:val="222222"/>
                <w:highlight w:val="white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line="240" w:lineRule="auto"/>
              <w:ind w:left="720" w:hanging="360"/>
              <w:rPr>
                <w:rFonts w:ascii="Arial" w:cs="Arial" w:eastAsia="Arial" w:hAnsi="Arial"/>
                <w:color w:val="2222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2"/>
        <w:rPr/>
      </w:pPr>
      <w:bookmarkStart w:colFirst="0" w:colLast="0" w:name="_9c2q8qe2dts9" w:id="1"/>
      <w:bookmarkEnd w:id="1"/>
      <w:r w:rsidDel="00000000" w:rsidR="00000000" w:rsidRPr="00000000">
        <w:rPr>
          <w:rtl w:val="0"/>
        </w:rPr>
        <w:t xml:space="preserve">Packet of Resources</w:t>
      </w:r>
    </w:p>
    <w:p w:rsidR="00000000" w:rsidDel="00000000" w:rsidP="00000000" w:rsidRDefault="00000000" w:rsidRPr="00000000" w14:paraId="00000080">
      <w:pPr>
        <w:ind w:left="720" w:hanging="360"/>
        <w:rPr/>
        <w:sectPr>
          <w:headerReference r:id="rId12" w:type="default"/>
          <w:footerReference r:id="rId13" w:type="default"/>
          <w:pgSz w:h="12240" w:w="15840" w:orient="landscape"/>
          <w:pgMar w:bottom="360" w:top="360" w:left="360" w:right="360" w:header="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1"/>
        </w:numPr>
        <w:ind w:left="720" w:hanging="360"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CBAC code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1"/>
        </w:numPr>
        <w:ind w:left="720" w:hanging="360"/>
        <w:rPr/>
      </w:pPr>
      <w:hyperlink r:id="rId15">
        <w:r w:rsidDel="00000000" w:rsidR="00000000" w:rsidRPr="00000000">
          <w:rPr>
            <w:color w:val="0000ee"/>
            <w:u w:val="single"/>
            <w:rtl w:val="0"/>
          </w:rPr>
          <w:t xml:space="preserve">DCHS CBAC</w:t>
        </w:r>
      </w:hyperlink>
      <w:r w:rsidDel="00000000" w:rsidR="00000000" w:rsidRPr="00000000">
        <w:rPr>
          <w:rtl w:val="0"/>
        </w:rPr>
        <w:t xml:space="preserve">folder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1"/>
        </w:numPr>
        <w:ind w:left="720" w:hanging="360"/>
        <w:rPr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Budget Office | Multnomah County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1"/>
        </w:numPr>
        <w:ind w:left="720" w:hanging="360"/>
        <w:rPr/>
      </w:pPr>
      <w:hyperlink r:id="rId17">
        <w:r w:rsidDel="00000000" w:rsidR="00000000" w:rsidRPr="00000000">
          <w:rPr>
            <w:color w:val="0000ee"/>
            <w:u w:val="single"/>
            <w:rtl w:val="0"/>
          </w:rPr>
          <w:t xml:space="preserve">FY 2023 Budget Equity Tool.pdf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0"/>
          <w:numId w:val="1"/>
        </w:numPr>
        <w:ind w:left="720" w:hanging="360"/>
        <w:rPr/>
      </w:pPr>
      <w:hyperlink r:id="rId18">
        <w:r w:rsidDel="00000000" w:rsidR="00000000" w:rsidRPr="00000000">
          <w:rPr>
            <w:color w:val="0000ee"/>
            <w:u w:val="single"/>
            <w:rtl w:val="0"/>
          </w:rPr>
          <w:t xml:space="preserve">Acronym list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ind w:left="720" w:hanging="360"/>
        <w:rPr>
          <w:u w:val="none"/>
        </w:rPr>
      </w:pPr>
      <w:hyperlink r:id="rId19">
        <w:r w:rsidDel="00000000" w:rsidR="00000000" w:rsidRPr="00000000">
          <w:rPr>
            <w:color w:val="0000ee"/>
            <w:u w:val="single"/>
            <w:rtl w:val="0"/>
          </w:rPr>
          <w:t xml:space="preserve">DCHS CBAC Site Visit Tour Schedule (FY26)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1"/>
        </w:numPr>
        <w:ind w:left="720" w:hanging="360"/>
        <w:rPr>
          <w:u w:val="none"/>
        </w:rPr>
      </w:pPr>
      <w:hyperlink r:id="rId20">
        <w:r w:rsidDel="00000000" w:rsidR="00000000" w:rsidRPr="00000000">
          <w:rPr>
            <w:color w:val="0000ee"/>
            <w:u w:val="single"/>
            <w:rtl w:val="0"/>
          </w:rPr>
          <w:t xml:space="preserve">FY 25 CBAC Site Visits - Field &amp; Virtual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ind w:left="0" w:firstLine="0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continuous"/>
      <w:pgSz w:h="12240" w:w="15840" w:orient="landscape"/>
      <w:pgMar w:bottom="360" w:top="360" w:left="360" w:right="360" w:header="0" w:footer="720"/>
      <w:cols w:equalWidth="0" w:num="2">
        <w:col w:space="720" w:w="7200"/>
        <w:col w:space="0" w:w="72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Century Gothic" w:cs="Century Gothic" w:eastAsia="Century Gothic" w:hAnsi="Century Gothic"/>
      </w:rPr>
    </w:pPr>
    <w:r w:rsidDel="00000000" w:rsidR="00000000" w:rsidRPr="00000000">
      <w:rPr>
        <w:rFonts w:ascii="Century Gothic" w:cs="Century Gothic" w:eastAsia="Century Gothic" w:hAnsi="Century Gothic"/>
        <w:rtl w:val="0"/>
      </w:rPr>
      <w:t xml:space="preserve">Page </w:t>
    </w:r>
    <w:r w:rsidDel="00000000" w:rsidR="00000000" w:rsidRPr="00000000">
      <w:rPr>
        <w:rFonts w:ascii="Century Gothic" w:cs="Century Gothic" w:eastAsia="Century Gothic" w:hAnsi="Century Gothic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entury Gothic" w:cs="Century Gothic" w:eastAsia="Century Gothic" w:hAnsi="Century Gothic"/>
        <w:rtl w:val="0"/>
      </w:rPr>
      <w:t xml:space="preserve"> of </w:t>
    </w:r>
    <w:r w:rsidDel="00000000" w:rsidR="00000000" w:rsidRPr="00000000">
      <w:rPr>
        <w:rFonts w:ascii="Century Gothic" w:cs="Century Gothic" w:eastAsia="Century Gothic" w:hAnsi="Century Gothic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tabs>
        <w:tab w:val="center" w:leader="none" w:pos="4680"/>
        <w:tab w:val="right" w:leader="none" w:pos="9360"/>
      </w:tabs>
      <w:spacing w:after="200" w:line="240" w:lineRule="auto"/>
      <w:jc w:val="right"/>
      <w:rPr>
        <w:b w:val="1"/>
        <w:bCs w:val="1"/>
        <w:sz w:val="28"/>
        <w:szCs w:val="28"/>
      </w:rPr>
    </w:pPr>
    <w:r w:rsidDel="00000000" w:rsidR="00000000" w:rsidRPr="00000000">
      <w:rPr>
        <w:rFonts w:ascii="Tahoma" w:cs="Tahoma" w:eastAsia="Tahoma" w:hAnsi="Tahoma"/>
        <w:b w:val="1"/>
        <w:bCs w:val="1"/>
        <w:sz w:val="32"/>
        <w:szCs w:val="32"/>
      </w:rPr>
      <w:drawing>
        <wp:inline distB="19050" distT="19050" distL="19050" distR="19050">
          <wp:extent cx="1345252" cy="59531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45252" cy="5953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  <w:bCs w:val="1"/>
        <w:sz w:val="28"/>
        <w:szCs w:val="28"/>
        <w:rtl w:val="0"/>
      </w:rPr>
      <w:t xml:space="preserve">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</w:pPr>
    <w:rPr>
      <w:b w:val="1"/>
      <w:bCs w:val="1"/>
      <w:color w:val="346094"/>
      <w:sz w:val="28"/>
      <w:szCs w:val="28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  <w:color w:val="346094"/>
      <w:sz w:val="28"/>
      <w:szCs w:val="28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document/d/17gAAjtRP7lV-NhaMdZcq9lasGcwnp2JNYdkKNw7fiFE/edit?usp=sharing" TargetMode="External"/><Relationship Id="rId11" Type="http://schemas.openxmlformats.org/officeDocument/2006/relationships/hyperlink" Target="https://docs.google.com/document/d/1oUCaXn3RiwOwMxiO4Qo6n_5stXlGbX7eMUBt8DCchqA/edit?usp=sharing" TargetMode="External"/><Relationship Id="rId10" Type="http://schemas.openxmlformats.org/officeDocument/2006/relationships/hyperlink" Target="https://drive.google.com/file/d/1N3CkDLhGwA_FVZdn9kBgD8sbdN2ILdIu/view?usp=sharing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ultco.us/file/cbac_policy_guide_2025/download" TargetMode="External"/><Relationship Id="rId15" Type="http://schemas.openxmlformats.org/officeDocument/2006/relationships/hyperlink" Target="https://drive.google.com/drive/folders/1lYSzUr8-mJyRbQ12tdc5-fiYthpqB-l3?usp=drive_link" TargetMode="External"/><Relationship Id="rId14" Type="http://schemas.openxmlformats.org/officeDocument/2006/relationships/hyperlink" Target="https://drive.google.com/file/d/1XpCOm6zxyO7n_MxL4uhtoIoDk1wov81t/view" TargetMode="External"/><Relationship Id="rId17" Type="http://schemas.openxmlformats.org/officeDocument/2006/relationships/hyperlink" Target="https://drive.google.com/file/d/1GAF8D-EyvnGQPmTEo8AYXbPTK3Hamuus/view?usp=sharing" TargetMode="External"/><Relationship Id="rId16" Type="http://schemas.openxmlformats.org/officeDocument/2006/relationships/hyperlink" Target="https://multco.us/budget" TargetMode="External"/><Relationship Id="rId5" Type="http://schemas.openxmlformats.org/officeDocument/2006/relationships/styles" Target="styles.xml"/><Relationship Id="rId19" Type="http://schemas.openxmlformats.org/officeDocument/2006/relationships/hyperlink" Target="https://docs.google.com/document/d/1PWLMeFTnUIpYn6U3tycRIT2vK77bB2AN87PoTu9CLjU/edit?usp=sharing" TargetMode="External"/><Relationship Id="rId6" Type="http://schemas.openxmlformats.org/officeDocument/2006/relationships/hyperlink" Target="https://drive.google.com/file/d/1g3LCu-lg2m73zDL3TsOIK_08cgLdnsST/view?usp=sharing" TargetMode="External"/><Relationship Id="rId18" Type="http://schemas.openxmlformats.org/officeDocument/2006/relationships/hyperlink" Target="https://docs.google.com/document/d/1I5gBlEijsUHI3zX0XiExO1mnFnlU13PgJpBt9ttU66M/edit?usp=sharing" TargetMode="External"/><Relationship Id="rId7" Type="http://schemas.openxmlformats.org/officeDocument/2006/relationships/hyperlink" Target="https://www.google.com/calendar/event?eid=cDc0MGlkNGdmNHBzZGg3cjZpdmlsZTRqZG9fMjAyNTAyMDVUMDEzMDAwWiB0YWhpcmEucml2ZXJhQG11bHRjby51cw" TargetMode="External"/><Relationship Id="rId8" Type="http://schemas.openxmlformats.org/officeDocument/2006/relationships/hyperlink" Target="mailto:emily.shultz@multco.u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