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ONA Management Bargaining Update 3 (June 18)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hd w:fill="ffffff" w:val="clear"/>
        <w:spacing w:after="80" w:before="0" w:line="300" w:lineRule="auto"/>
        <w:rPr>
          <w:color w:val="212529"/>
          <w:sz w:val="22"/>
          <w:szCs w:val="22"/>
        </w:rPr>
      </w:pPr>
      <w:bookmarkStart w:colFirst="0" w:colLast="0" w:name="_4eybimvnm9re" w:id="0"/>
      <w:bookmarkEnd w:id="0"/>
      <w:r w:rsidDel="00000000" w:rsidR="00000000" w:rsidRPr="00000000">
        <w:rPr>
          <w:color w:val="212529"/>
          <w:sz w:val="22"/>
          <w:szCs w:val="22"/>
          <w:rtl w:val="0"/>
        </w:rPr>
        <w:t xml:space="preserve">ONA Management Bargaining Update 3 (June 20, 2025)</w:t>
      </w:r>
    </w:p>
    <w:p w:rsidR="00000000" w:rsidDel="00000000" w:rsidP="00000000" w:rsidRDefault="00000000" w:rsidRPr="00000000" w14:paraId="00000004">
      <w:pPr>
        <w:shd w:fill="ffffff" w:val="clear"/>
        <w:spacing w:after="300" w:line="276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The County has had 2 bargaining sessions since the last bargaining update (linked below) - one on June 4th and on June 18th, 2025. 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ffffff" w:val="clear"/>
        <w:spacing w:before="0" w:line="300" w:lineRule="auto"/>
        <w:rPr>
          <w:color w:val="212529"/>
          <w:sz w:val="22"/>
          <w:szCs w:val="22"/>
        </w:rPr>
      </w:pPr>
      <w:bookmarkStart w:colFirst="0" w:colLast="0" w:name="_ovrrdkw450p4" w:id="1"/>
      <w:bookmarkEnd w:id="1"/>
      <w:r w:rsidDel="00000000" w:rsidR="00000000" w:rsidRPr="00000000">
        <w:rPr>
          <w:color w:val="212529"/>
          <w:sz w:val="22"/>
          <w:szCs w:val="22"/>
          <w:rtl w:val="0"/>
        </w:rPr>
        <w:t xml:space="preserve">June 4th, 2025 Recap: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THE UNION INTRODUCED NEW BARGAINING TEAM MEMBERS: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Abby Wagner - ONA bargaining team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Kennedy Boehm - ONA bargaining team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Leah Isaac - County bargaining team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UNION ANNOUNCEMENTS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Appreciation for County’s flexibility - workdays provided under union business time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Jocelyn Pittman will be taking over bargaining. Will need to change scheduling of bargaining dates.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UNION REQUEST TO COUNTY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Market Comparables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COUNTY PROPOSALS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2 - Definitions 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Add “operationally” to essential employee definitions, removing managerial employee and supervisory definitions, adding existing lead nurse definition from compensation article.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UNION PROPOSALS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5. ASSOCIATION SECURITY, CHECK OFF AND BUSINESS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Counter 8 paid bargaining unit members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30 days notice for recruitment and retention trends discussion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7. Holidays -  Last proposal by union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Add indigenous people’s day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Add day after thanksgiving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Increase personal holidays to two versus one per fiscal year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Allow Juneteenth to carry over into the next fiscal year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All association employees who work holidays - in addition to premiums, will get holiday pay. They will be paid “holiday pay” for all additional hours worked on a holiday. If they work 2 shifts on a holiday - they get 2 holidays (1.0) under “holiday pay”, in addition to “holiday worked” (1.5)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Termination or death - unused holiday hours will get paid out (same as vacation)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9. Sick Leave  -  Last proposal by union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Accrue sick leave on all hours worked, including overtime and mandates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Reinstatement of sick leave accruals - extend to 365 days. 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Clarified FMLA/OFLA continuous leave verification is done by employee’s provider and may be repeated every 30 days.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Sick leave cash-out - in the event of death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Donations of accrued sick or vacation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Sick leave conversion into vacation hours (up to 40, no less than 40 in bank)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10. Other Leaves  -  Last proposal by union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Bereavement - adding ability to take up to 14 work days of their own leave in conjunction with bereavement. Add loss of pregnancy, add pets. 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after="24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Court Appearance - impacts corrections health primarily. Requesting paid time for court appearances, preparation time and phone calls.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hd w:fill="ffffff" w:val="clear"/>
        <w:spacing w:before="0" w:line="300" w:lineRule="auto"/>
        <w:rPr>
          <w:color w:val="212529"/>
          <w:sz w:val="22"/>
          <w:szCs w:val="22"/>
        </w:rPr>
      </w:pPr>
      <w:bookmarkStart w:colFirst="0" w:colLast="0" w:name="_5x5eoq8wurbu" w:id="2"/>
      <w:bookmarkEnd w:id="2"/>
      <w:r w:rsidDel="00000000" w:rsidR="00000000" w:rsidRPr="00000000">
        <w:rPr>
          <w:color w:val="212529"/>
          <w:sz w:val="22"/>
          <w:szCs w:val="22"/>
          <w:rtl w:val="0"/>
        </w:rPr>
        <w:t xml:space="preserve">June 18, 2025 Recap: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Late start due to AM Training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Introduction of </w:t>
      </w:r>
      <w:r w:rsidDel="00000000" w:rsidR="00000000" w:rsidRPr="00000000">
        <w:rPr>
          <w:b w:val="1"/>
          <w:bCs w:val="1"/>
          <w:color w:val="212529"/>
          <w:rtl w:val="0"/>
        </w:rPr>
        <w:t xml:space="preserve">Jocelyn Pitman</w:t>
      </w:r>
      <w:r w:rsidDel="00000000" w:rsidR="00000000" w:rsidRPr="00000000">
        <w:rPr>
          <w:color w:val="212529"/>
          <w:rtl w:val="0"/>
        </w:rPr>
        <w:t xml:space="preserve"> as new lead negotiator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COUNTY PROPOSALS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County advised articles currently sitting with them have a financial element or further assessment is needed and would like to assess holistically with other financial proposals pending from the union.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UNION PROPOSALS 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17 - Same-day Reassignment 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Not allow for same day reassignment in CH (ONA claims it is virtually impossible without training while acknowledging it is not currently occurring). 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30 minutes’ notice for same day reassignment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Allow employee to report directly to the site of the reassignment instead of first reporting to their regular worksite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after="0" w:afterAutospacing="0"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Drug and alcohol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Accepting County’s housekeeping language.</w:t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spacing w:after="0" w:afterAutospacing="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Wants to remove language about last chance agreement not having grievance rights 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spacing w:after="240" w:line="276" w:lineRule="auto"/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Proposing CCL on CDL section. 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hd w:fill="ffffff" w:val="clear"/>
        <w:spacing w:after="40" w:before="0" w:line="300" w:lineRule="auto"/>
        <w:rPr>
          <w:color w:val="212529"/>
          <w:sz w:val="22"/>
          <w:szCs w:val="22"/>
        </w:rPr>
      </w:pPr>
      <w:bookmarkStart w:colFirst="0" w:colLast="0" w:name="_1m54y2n5rgki" w:id="3"/>
      <w:bookmarkEnd w:id="3"/>
      <w:r w:rsidDel="00000000" w:rsidR="00000000" w:rsidRPr="00000000">
        <w:rPr>
          <w:color w:val="212529"/>
          <w:sz w:val="22"/>
          <w:szCs w:val="22"/>
          <w:rtl w:val="0"/>
        </w:rPr>
        <w:t xml:space="preserve">Here is where we are today 6/18/2025: </w:t>
      </w:r>
    </w:p>
    <w:p w:rsidR="00000000" w:rsidDel="00000000" w:rsidP="00000000" w:rsidRDefault="00000000" w:rsidRPr="00000000" w14:paraId="00000036">
      <w:pPr>
        <w:shd w:fill="ffffff" w:val="clear"/>
        <w:spacing w:after="300" w:line="276" w:lineRule="auto"/>
        <w:rPr>
          <w:b w:val="1"/>
          <w:bCs w:val="1"/>
          <w:color w:val="212529"/>
        </w:rPr>
      </w:pPr>
      <w:r w:rsidDel="00000000" w:rsidR="00000000" w:rsidRPr="00000000">
        <w:rPr>
          <w:b w:val="1"/>
          <w:bCs w:val="1"/>
          <w:color w:val="212529"/>
          <w:rtl w:val="0"/>
        </w:rPr>
        <w:t xml:space="preserve">Articles TA’ed (Tentative agreement reached):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Ground Rules (3/5/2025)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MOA - Waiver of Minimum Time Served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 Preamble - Current Contract Language - (3/26/25)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4 Management Rights - Current Contract Language - (3/26/25_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6 No Strike or Lock Out - Current Contract Language - (3/26/25)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13 Defense and Indemnification - Current Contract Language -(3/26/25)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23. Settlement Of Disputes - (6/18/25)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25 - Savings Clause and Funding - (6/18/25)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spacing w:after="2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26 - Entire Agreement - (6/18/25)</w:t>
      </w:r>
    </w:p>
    <w:p w:rsidR="00000000" w:rsidDel="00000000" w:rsidP="00000000" w:rsidRDefault="00000000" w:rsidRPr="00000000" w14:paraId="00000040">
      <w:pPr>
        <w:shd w:fill="ffffff" w:val="clear"/>
        <w:spacing w:after="300" w:line="276" w:lineRule="auto"/>
        <w:rPr>
          <w:b w:val="1"/>
          <w:bCs w:val="1"/>
          <w:color w:val="212529"/>
        </w:rPr>
      </w:pPr>
      <w:r w:rsidDel="00000000" w:rsidR="00000000" w:rsidRPr="00000000">
        <w:rPr>
          <w:b w:val="1"/>
          <w:bCs w:val="1"/>
          <w:color w:val="212529"/>
          <w:rtl w:val="0"/>
        </w:rPr>
        <w:t xml:space="preserve">Articles Open: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2. Definitions - - Last proposal by County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3. Recognition - No proposals to date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5. Association Security, Check Off And Business -  Last proposal by union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7. Holidays -  Last proposal by union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8. Vacation Leave - Last proposal by Union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9. Sick Leave  -  Last proposal by union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10. Other Leaves  -  Last proposal by union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11. Health And Welfare - No proposals to date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12. Workers’ Compensation - No proposals to date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14. Seniority, Layoff - Last proposal by County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15. Filling Of Vacancies - Last proposal by County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16. Hours Of Work - Last proposal by County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17. Same Day Reassignment - Last proposal by Union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18. Wages - No proposals to date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19. Performance Evaluation - Last proposal by County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20. Professional Staff Development - Last proposal by County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21. Employment Status - Last proposal by County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22. Corrective Action - Last proposal by County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24. General Provisions - Last proposal by Union</w:t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25. Savings Clause and Funding: 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26. Entire Agreement: 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Article 27 - Termination - - Last proposal by County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Addendum A. Salary Schedule For Ona Bargaining Unit  - No proposals to date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Addendum B. Drug And Alcohol Policy - Last proposal by County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hd w:fill="ffffff" w:val="clear"/>
        <w:spacing w:after="2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12529"/>
          <w:rtl w:val="0"/>
        </w:rPr>
        <w:t xml:space="preserve">Addendum C. Washington State Employees -  No proposals to date</w:t>
      </w:r>
    </w:p>
    <w:p w:rsidR="00000000" w:rsidDel="00000000" w:rsidP="00000000" w:rsidRDefault="00000000" w:rsidRPr="00000000" w14:paraId="0000005A">
      <w:pPr>
        <w:shd w:fill="ffffff" w:val="clear"/>
        <w:spacing w:after="300" w:line="276" w:lineRule="auto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Our next bargaining session is scheduled for July 3rd.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1252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12529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12529"/>
        <w:sz w:val="27"/>
        <w:szCs w:val="27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1252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12529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12529"/>
        <w:sz w:val="27"/>
        <w:szCs w:val="27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1252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212529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