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27" w:lineRule="exact"/>
        <w:ind w:left="232"/>
      </w:pPr>
      <w:r>
        <w:rPr/>
        <w:t>Oregon Community Services and Supports Unit</w:t>
      </w:r>
    </w:p>
    <w:p>
      <w:pPr>
        <w:spacing w:line="571" w:lineRule="exact" w:before="0"/>
        <w:ind w:left="232" w:right="0" w:firstLine="0"/>
        <w:jc w:val="left"/>
        <w:rPr>
          <w:b/>
          <w:sz w:val="48"/>
        </w:rPr>
      </w:pPr>
      <w:r>
        <w:rPr>
          <w:b/>
          <w:sz w:val="48"/>
        </w:rPr>
        <w:t>Oregon Project Independence Monitoring Tool 2022</w:t>
      </w:r>
    </w:p>
    <w:p>
      <w:pPr>
        <w:spacing w:line="382" w:lineRule="exact" w:before="0"/>
        <w:ind w:left="232" w:right="0" w:firstLine="0"/>
        <w:jc w:val="left"/>
        <w:rPr>
          <w:sz w:val="28"/>
        </w:rPr>
      </w:pPr>
      <w:r>
        <w:rPr>
          <w:b/>
          <w:sz w:val="32"/>
        </w:rPr>
        <w:t>Please submit to </w:t>
      </w:r>
      <w:hyperlink r:id="rId6">
        <w:r>
          <w:rPr>
            <w:color w:val="0000FF"/>
            <w:sz w:val="32"/>
            <w:u w:val="single" w:color="0000FF"/>
          </w:rPr>
          <w:t>SUA.Email@dhsoha.state.or.us</w:t>
        </w:r>
      </w:hyperlink>
      <w:r>
        <w:rPr>
          <w:color w:val="1F487C"/>
          <w:sz w:val="28"/>
        </w:rPr>
        <w:t>.</w:t>
      </w:r>
    </w:p>
    <w:p>
      <w:pPr>
        <w:tabs>
          <w:tab w:pos="5220" w:val="left" w:leader="none"/>
          <w:tab w:pos="7888" w:val="left" w:leader="none"/>
        </w:tabs>
        <w:spacing w:line="341" w:lineRule="exact" w:before="0"/>
        <w:ind w:left="232" w:right="0" w:firstLine="0"/>
        <w:jc w:val="left"/>
        <w:rPr>
          <w:sz w:val="24"/>
        </w:rPr>
      </w:pPr>
      <w:r>
        <w:rPr>
          <w:sz w:val="28"/>
        </w:rPr>
        <w:t>AAA:</w:t>
      </w:r>
      <w:r>
        <w:rPr>
          <w:rFonts w:ascii="Arial" w:hAnsi="Arial"/>
          <w:sz w:val="24"/>
        </w:rPr>
        <w:t>    </w:t>
      </w:r>
      <w:r>
        <w:rPr>
          <w:sz w:val="24"/>
        </w:rPr>
        <w:t>Multnomah</w:t>
      </w:r>
      <w:r>
        <w:rPr>
          <w:spacing w:val="-3"/>
          <w:sz w:val="24"/>
        </w:rPr>
        <w:t> </w:t>
      </w:r>
      <w:r>
        <w:rPr>
          <w:sz w:val="24"/>
        </w:rPr>
        <w:t>County</w:t>
      </w:r>
      <w:r>
        <w:rPr>
          <w:spacing w:val="-2"/>
          <w:sz w:val="24"/>
        </w:rPr>
        <w:t> </w:t>
      </w:r>
      <w:r>
        <w:rPr>
          <w:sz w:val="24"/>
        </w:rPr>
        <w:t>ADVSD</w:t>
      </w:r>
      <w:r>
        <w:rPr>
          <w:rFonts w:ascii="Arial" w:hAnsi="Arial"/>
          <w:sz w:val="24"/>
        </w:rPr>
        <w:t> </w:t>
        <w:tab/>
      </w: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Monitoring:</w:t>
        <w:tab/>
      </w:r>
      <w:r>
        <w:rPr>
          <w:sz w:val="24"/>
        </w:rPr>
        <w:t>November/ December 2021</w:t>
      </w:r>
    </w:p>
    <w:p>
      <w:pPr>
        <w:pStyle w:val="BodyText"/>
        <w:tabs>
          <w:tab w:pos="7660" w:val="left" w:leader="none"/>
        </w:tabs>
        <w:spacing w:before="213"/>
        <w:ind w:left="232"/>
      </w:pPr>
      <w:r>
        <w:rPr/>
        <w:t>Contact person for</w:t>
      </w:r>
      <w:r>
        <w:rPr>
          <w:spacing w:val="-1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responses:</w:t>
        <w:tab/>
        <w:t>Contact phone</w:t>
      </w:r>
      <w:r>
        <w:rPr>
          <w:spacing w:val="-2"/>
        </w:rPr>
        <w:t> </w:t>
      </w:r>
      <w:r>
        <w:rPr/>
        <w:t>number: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232" w:right="0" w:firstLine="0"/>
        <w:jc w:val="left"/>
        <w:rPr>
          <w:b/>
          <w:sz w:val="36"/>
        </w:rPr>
      </w:pPr>
      <w:r>
        <w:rPr>
          <w:b/>
          <w:sz w:val="44"/>
        </w:rPr>
        <w:t>Part 1: AAA Review (</w:t>
      </w:r>
      <w:r>
        <w:rPr>
          <w:b/>
          <w:sz w:val="36"/>
        </w:rPr>
        <w:t>if the AAA participates in the pilot include expansion pilot information)</w:t>
      </w:r>
    </w:p>
    <w:p>
      <w:pPr>
        <w:spacing w:line="232" w:lineRule="auto" w:before="355"/>
        <w:ind w:left="232" w:right="106" w:hanging="1"/>
        <w:jc w:val="left"/>
        <w:rPr>
          <w:i/>
          <w:sz w:val="28"/>
        </w:rPr>
      </w:pPr>
      <w:r>
        <w:rPr>
          <w:i/>
          <w:sz w:val="28"/>
        </w:rPr>
        <w:t>Respond </w:t>
      </w:r>
      <w:r>
        <w:rPr>
          <w:b/>
          <w:i/>
          <w:sz w:val="28"/>
        </w:rPr>
        <w:t>No </w:t>
      </w:r>
      <w:r>
        <w:rPr>
          <w:i/>
          <w:sz w:val="28"/>
        </w:rPr>
        <w:t>if there is not a policy or procedure which demonstrates the question. Respond </w:t>
      </w:r>
      <w:r>
        <w:rPr>
          <w:b/>
          <w:i/>
          <w:sz w:val="28"/>
        </w:rPr>
        <w:t>Yes </w:t>
      </w:r>
      <w:r>
        <w:rPr>
          <w:i/>
          <w:sz w:val="28"/>
        </w:rPr>
        <w:t>if policy or procedure is found </w:t>
      </w:r>
      <w:r>
        <w:rPr>
          <w:b/>
          <w:i/>
          <w:sz w:val="28"/>
        </w:rPr>
        <w:t>and </w:t>
      </w:r>
      <w:r>
        <w:rPr>
          <w:i/>
          <w:sz w:val="28"/>
        </w:rPr>
        <w:t>is </w:t>
      </w:r>
      <w:r>
        <w:rPr>
          <w:i/>
          <w:sz w:val="28"/>
        </w:rPr>
        <w:t>demonstrated. In the explanation section, describe where and how this is verified.</w:t>
      </w: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0"/>
        <w:gridCol w:w="960"/>
        <w:gridCol w:w="800"/>
        <w:gridCol w:w="7240"/>
      </w:tblGrid>
      <w:tr>
        <w:trPr>
          <w:trHeight w:val="719" w:hRule="atLeast"/>
        </w:trPr>
        <w:tc>
          <w:tcPr>
            <w:tcW w:w="5960" w:type="dxa"/>
            <w:shd w:val="clear" w:color="auto" w:fill="C6D9F0"/>
          </w:tcPr>
          <w:p>
            <w:pPr>
              <w:pStyle w:val="TableParagraph"/>
              <w:spacing w:before="10"/>
              <w:ind w:left="101"/>
              <w:rPr>
                <w:b/>
                <w:sz w:val="36"/>
              </w:rPr>
            </w:pPr>
            <w:r>
              <w:rPr>
                <w:b/>
                <w:sz w:val="36"/>
              </w:rPr>
              <w:t>OPI Administration and Waitlist</w:t>
            </w:r>
          </w:p>
        </w:tc>
        <w:tc>
          <w:tcPr>
            <w:tcW w:w="960" w:type="dxa"/>
            <w:shd w:val="clear" w:color="auto" w:fill="C6D9F0"/>
          </w:tcPr>
          <w:p>
            <w:pPr>
              <w:pStyle w:val="TableParagraph"/>
              <w:spacing w:before="10"/>
              <w:ind w:left="96"/>
              <w:rPr>
                <w:b/>
                <w:sz w:val="36"/>
              </w:rPr>
            </w:pPr>
            <w:r>
              <w:rPr>
                <w:b/>
                <w:sz w:val="36"/>
              </w:rPr>
              <w:t>No</w:t>
            </w:r>
          </w:p>
        </w:tc>
        <w:tc>
          <w:tcPr>
            <w:tcW w:w="800" w:type="dxa"/>
            <w:shd w:val="clear" w:color="auto" w:fill="C6D9F0"/>
          </w:tcPr>
          <w:p>
            <w:pPr>
              <w:pStyle w:val="TableParagraph"/>
              <w:spacing w:before="10"/>
              <w:ind w:left="96"/>
              <w:rPr>
                <w:b/>
                <w:sz w:val="36"/>
              </w:rPr>
            </w:pPr>
            <w:r>
              <w:rPr>
                <w:b/>
                <w:sz w:val="36"/>
              </w:rPr>
              <w:t>Yes</w:t>
            </w:r>
          </w:p>
        </w:tc>
        <w:tc>
          <w:tcPr>
            <w:tcW w:w="7240" w:type="dxa"/>
            <w:shd w:val="clear" w:color="auto" w:fill="C6D9F0"/>
          </w:tcPr>
          <w:p>
            <w:pPr>
              <w:pStyle w:val="TableParagraph"/>
              <w:spacing w:before="10"/>
              <w:ind w:left="106"/>
              <w:rPr>
                <w:b/>
                <w:sz w:val="36"/>
              </w:rPr>
            </w:pPr>
            <w:r>
              <w:rPr>
                <w:b/>
                <w:sz w:val="36"/>
              </w:rPr>
              <w:t>Explanation</w:t>
            </w:r>
          </w:p>
        </w:tc>
      </w:tr>
      <w:tr>
        <w:trPr>
          <w:trHeight w:val="959" w:hRule="atLeast"/>
        </w:trPr>
        <w:tc>
          <w:tcPr>
            <w:tcW w:w="5960" w:type="dxa"/>
          </w:tcPr>
          <w:p>
            <w:pPr>
              <w:pStyle w:val="TableParagraph"/>
              <w:spacing w:line="232" w:lineRule="auto" w:before="12"/>
              <w:ind w:left="461" w:right="100" w:hanging="360"/>
              <w:rPr>
                <w:sz w:val="28"/>
              </w:rPr>
            </w:pPr>
            <w:r>
              <w:rPr>
                <w:sz w:val="28"/>
              </w:rPr>
              <w:t>1. The AAA ensures timely response to requests for OPI services.</w:t>
            </w:r>
          </w:p>
          <w:p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(OAR 411-032-0005 2) b) C)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40" w:type="dxa"/>
          </w:tcPr>
          <w:p>
            <w:pPr>
              <w:pStyle w:val="TableParagraph"/>
              <w:spacing w:line="232" w:lineRule="auto" w:before="10"/>
              <w:ind w:left="106" w:right="20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AAA policy requires that contracted partners respond to referrals from ADRC for OPI program within five days.</w:t>
            </w:r>
            <w:r>
              <w:rPr>
                <w:rFonts w:ascii="Arial" w:hAnsi="Arial"/>
                <w:sz w:val="24"/>
              </w:rPr>
              <w:t>   </w:t>
            </w:r>
          </w:p>
        </w:tc>
      </w:tr>
      <w:tr>
        <w:trPr>
          <w:trHeight w:val="940" w:hRule="atLeast"/>
        </w:trPr>
        <w:tc>
          <w:tcPr>
            <w:tcW w:w="5960" w:type="dxa"/>
          </w:tcPr>
          <w:p>
            <w:pPr>
              <w:pStyle w:val="TableParagraph"/>
              <w:spacing w:line="232" w:lineRule="auto" w:before="7"/>
              <w:ind w:left="461" w:right="100" w:hanging="360"/>
              <w:rPr>
                <w:sz w:val="28"/>
              </w:rPr>
            </w:pPr>
            <w:r>
              <w:rPr>
                <w:sz w:val="28"/>
              </w:rPr>
              <w:t>2. The AAA regularly evaluates the work being done by their contractors.</w:t>
            </w:r>
          </w:p>
          <w:p>
            <w:pPr>
              <w:pStyle w:val="TableParagraph"/>
              <w:spacing w:line="250" w:lineRule="exact"/>
              <w:ind w:left="521"/>
              <w:rPr>
                <w:sz w:val="24"/>
              </w:rPr>
            </w:pPr>
            <w:r>
              <w:rPr>
                <w:sz w:val="24"/>
              </w:rPr>
              <w:t>(OAR 411-032-0005 2) b) L)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40" w:type="dxa"/>
          </w:tcPr>
          <w:p>
            <w:pPr>
              <w:pStyle w:val="TableParagraph"/>
              <w:spacing w:line="232" w:lineRule="auto" w:before="5"/>
              <w:ind w:left="106"/>
              <w:rPr>
                <w:sz w:val="24"/>
              </w:rPr>
            </w:pPr>
            <w:r>
              <w:rPr>
                <w:sz w:val="24"/>
              </w:rPr>
              <w:t>Data analyst provides contact liaisons with a monthly OPI report with measures to review and share with contractors; contractors submit monthly invoice and OPI waitlist.</w:t>
            </w:r>
          </w:p>
        </w:tc>
      </w:tr>
      <w:tr>
        <w:trPr>
          <w:trHeight w:val="940" w:hRule="atLeast"/>
        </w:trPr>
        <w:tc>
          <w:tcPr>
            <w:tcW w:w="5960" w:type="dxa"/>
          </w:tcPr>
          <w:p>
            <w:pPr>
              <w:pStyle w:val="TableParagraph"/>
              <w:spacing w:line="335" w:lineRule="exact"/>
              <w:ind w:left="101"/>
              <w:rPr>
                <w:sz w:val="28"/>
              </w:rPr>
            </w:pPr>
            <w:r>
              <w:rPr>
                <w:sz w:val="28"/>
              </w:rPr>
              <w:t>3. The AAA has a waitlist for OPI services.</w:t>
            </w:r>
          </w:p>
          <w:p>
            <w:pPr>
              <w:pStyle w:val="TableParagraph"/>
              <w:spacing w:line="287" w:lineRule="exact"/>
              <w:ind w:left="431"/>
              <w:rPr>
                <w:sz w:val="24"/>
              </w:rPr>
            </w:pPr>
            <w:r>
              <w:rPr>
                <w:sz w:val="24"/>
              </w:rPr>
              <w:t>(OAR 411-032-0005 2) b) G)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292" w:lineRule="exact"/>
              <w:ind w:left="21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40" w:type="dxa"/>
          </w:tcPr>
          <w:p>
            <w:pPr>
              <w:pStyle w:val="TableParagraph"/>
              <w:spacing w:line="232" w:lineRule="auto" w:before="5"/>
              <w:ind w:left="106"/>
              <w:rPr>
                <w:sz w:val="24"/>
              </w:rPr>
            </w:pPr>
            <w:r>
              <w:rPr>
                <w:sz w:val="24"/>
              </w:rPr>
              <w:t>Each contractor with OPI submits their agency’s OPI waitlist monthly; AAA tracks the individual agency waitlist numbers and the total for the AAA monthly.</w:t>
            </w:r>
          </w:p>
        </w:tc>
      </w:tr>
      <w:tr>
        <w:trPr>
          <w:trHeight w:val="660" w:hRule="atLeast"/>
        </w:trPr>
        <w:tc>
          <w:tcPr>
            <w:tcW w:w="5960" w:type="dxa"/>
          </w:tcPr>
          <w:p>
            <w:pPr>
              <w:pStyle w:val="TableParagraph"/>
              <w:spacing w:line="330" w:lineRule="exact" w:before="17"/>
              <w:ind w:left="1271" w:hanging="360"/>
              <w:rPr>
                <w:sz w:val="28"/>
              </w:rPr>
            </w:pPr>
            <w:r>
              <w:rPr>
                <w:sz w:val="28"/>
              </w:rPr>
              <w:t>a. If yes, how many are on pilot expansion waitlist?</w:t>
            </w:r>
          </w:p>
        </w:tc>
        <w:tc>
          <w:tcPr>
            <w:tcW w:w="960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40" w:type="dxa"/>
          </w:tcPr>
          <w:p>
            <w:pPr>
              <w:pStyle w:val="TableParagraph"/>
              <w:spacing w:before="14"/>
              <w:ind w:left="586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642" w:hRule="atLeast"/>
        </w:trPr>
        <w:tc>
          <w:tcPr>
            <w:tcW w:w="5960" w:type="dxa"/>
          </w:tcPr>
          <w:p>
            <w:pPr>
              <w:pStyle w:val="TableParagraph"/>
              <w:spacing w:line="328" w:lineRule="exact"/>
              <w:ind w:left="911"/>
              <w:rPr>
                <w:sz w:val="28"/>
              </w:rPr>
            </w:pPr>
            <w:r>
              <w:rPr>
                <w:sz w:val="28"/>
              </w:rPr>
              <w:t>b. If yes, how many are on regular OPI</w:t>
            </w:r>
          </w:p>
          <w:p>
            <w:pPr>
              <w:pStyle w:val="TableParagraph"/>
              <w:spacing w:line="295" w:lineRule="exact"/>
              <w:ind w:left="1271"/>
              <w:rPr>
                <w:sz w:val="28"/>
              </w:rPr>
            </w:pPr>
            <w:r>
              <w:rPr>
                <w:sz w:val="28"/>
              </w:rPr>
              <w:t>waitlist</w:t>
            </w:r>
          </w:p>
        </w:tc>
        <w:tc>
          <w:tcPr>
            <w:tcW w:w="960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  <w:shd w:val="clear" w:color="auto" w:fill="7E7E7E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40" w:type="dxa"/>
          </w:tcPr>
          <w:p>
            <w:pPr>
              <w:pStyle w:val="TableParagraph"/>
              <w:spacing w:line="285" w:lineRule="exact"/>
              <w:ind w:left="586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>
        <w:trPr>
          <w:trHeight w:val="980" w:hRule="atLeast"/>
        </w:trPr>
        <w:tc>
          <w:tcPr>
            <w:tcW w:w="5960" w:type="dxa"/>
          </w:tcPr>
          <w:p>
            <w:pPr>
              <w:pStyle w:val="TableParagraph"/>
              <w:spacing w:line="330" w:lineRule="exact" w:before="7"/>
              <w:ind w:left="461" w:hanging="360"/>
              <w:rPr>
                <w:sz w:val="28"/>
              </w:rPr>
            </w:pPr>
            <w:r>
              <w:rPr>
                <w:sz w:val="28"/>
              </w:rPr>
              <w:t>4. The AAA bills consumers who have been assessed as having a fee, or documentation regarding waived fees.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ind w:left="21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240" w:type="dxa"/>
          </w:tcPr>
          <w:p>
            <w:pPr>
              <w:pStyle w:val="TableParagraph"/>
              <w:spacing w:line="232" w:lineRule="auto" w:before="10"/>
              <w:ind w:left="106"/>
              <w:rPr>
                <w:sz w:val="24"/>
              </w:rPr>
            </w:pPr>
            <w:r>
              <w:rPr>
                <w:sz w:val="24"/>
              </w:rPr>
              <w:t>Partner agency case managers complete the 0287K at initial assessment and mail out invoice to client for a $25.00 one time fee, or a monthly invoice to clients with a co-pay if served by a HCW; in-home care</w:t>
            </w:r>
          </w:p>
        </w:tc>
      </w:tr>
    </w:tbl>
    <w:p>
      <w:pPr>
        <w:spacing w:after="0" w:line="232" w:lineRule="auto"/>
        <w:rPr>
          <w:sz w:val="24"/>
        </w:rPr>
        <w:sectPr>
          <w:footerReference w:type="default" r:id="rId5"/>
          <w:type w:val="continuous"/>
          <w:pgSz w:w="15840" w:h="12240" w:orient="landscape"/>
          <w:pgMar w:footer="1037" w:top="440" w:bottom="1220" w:left="200" w:right="360"/>
          <w:pgNumType w:start="1"/>
        </w:sect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0"/>
        <w:gridCol w:w="960"/>
        <w:gridCol w:w="800"/>
        <w:gridCol w:w="7240"/>
      </w:tblGrid>
      <w:tr>
        <w:trPr>
          <w:trHeight w:val="1129" w:hRule="atLeast"/>
        </w:trPr>
        <w:tc>
          <w:tcPr>
            <w:tcW w:w="5960" w:type="dxa"/>
          </w:tcPr>
          <w:p>
            <w:pPr>
              <w:pStyle w:val="TableParagraph"/>
              <w:spacing w:before="4"/>
              <w:ind w:left="427"/>
              <w:rPr>
                <w:sz w:val="24"/>
              </w:rPr>
            </w:pPr>
            <w:r>
              <w:rPr>
                <w:sz w:val="24"/>
              </w:rPr>
              <w:t>(OAR 411-032-0005 2) b) J, K)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40" w:type="dxa"/>
          </w:tcPr>
          <w:p>
            <w:pPr>
              <w:pStyle w:val="TableParagraph"/>
              <w:spacing w:line="286" w:lineRule="exact" w:before="3"/>
              <w:ind w:left="101" w:right="72"/>
              <w:rPr>
                <w:sz w:val="24"/>
              </w:rPr>
            </w:pPr>
            <w:r>
              <w:rPr>
                <w:sz w:val="24"/>
              </w:rPr>
              <w:t>agencies bill OPI clients monthly if served by an agency, CM shares fee percentage with agency via 546N and they collect. If client does not have a monthly fee, this is noted on the 546N as well as a one time $25 fee.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pStyle w:val="Heading1"/>
        <w:spacing w:before="11"/>
      </w:pPr>
      <w:r>
        <w:rPr/>
        <w:t>Part 2: OPI Consumer Review - to be completed in Survey Monkey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3"/>
        </w:rPr>
      </w:pPr>
      <w:r>
        <w:rPr/>
        <w:pict>
          <v:shape style="position:absolute;margin-left:21.599998pt;margin-top:9.734221pt;width:737.25pt;height:22pt;mso-position-horizontal-relative:page;mso-position-vertical-relative:paragraph;z-index:-1024;mso-wrap-distance-left:0;mso-wrap-distance-right:0" type="#_x0000_t202" filled="true" fillcolor="#daedf2" stroked="false">
            <v:textbox inset="0,0,0,0">
              <w:txbxContent>
                <w:p>
                  <w:pPr>
                    <w:spacing w:line="430" w:lineRule="exact" w:before="10"/>
                    <w:ind w:left="1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CAPS Assessment Instructions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737pt;height:1pt;mso-position-horizontal-relative:char;mso-position-vertical-relative:line" coordorigin="0,0" coordsize="14740,20">
            <v:rect style="position:absolute;left:0;top:0;width:1474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2" w:lineRule="auto" w:before="0"/>
        <w:ind w:left="351" w:right="498" w:firstLine="0"/>
        <w:jc w:val="left"/>
        <w:rPr>
          <w:b/>
          <w:sz w:val="28"/>
        </w:rPr>
      </w:pPr>
      <w:r>
        <w:rPr/>
        <w:pict>
          <v:rect style="position:absolute;margin-left:21.999998pt;margin-top:-24.359823pt;width:737.000007pt;height:1.0pt;mso-position-horizontal-relative:page;mso-position-vertical-relative:paragraph;z-index:1096" filled="true" fillcolor="#000000" stroked="false">
            <v:fill type="solid"/>
            <w10:wrap type="none"/>
          </v:rect>
        </w:pict>
      </w:r>
      <w:r>
        <w:rPr>
          <w:b/>
          <w:sz w:val="28"/>
        </w:rPr>
        <w:t>A list of OPI consumers will be provided by </w:t>
      </w:r>
      <w:r>
        <w:rPr>
          <w:b/>
          <w:spacing w:val="-3"/>
          <w:sz w:val="28"/>
        </w:rPr>
        <w:t>SUA </w:t>
      </w:r>
      <w:r>
        <w:rPr>
          <w:b/>
          <w:sz w:val="28"/>
        </w:rPr>
        <w:t>for the </w:t>
      </w:r>
      <w:r>
        <w:rPr>
          <w:b/>
          <w:spacing w:val="-4"/>
          <w:sz w:val="28"/>
        </w:rPr>
        <w:t>review. </w:t>
      </w:r>
      <w:r>
        <w:rPr>
          <w:b/>
          <w:sz w:val="28"/>
        </w:rPr>
        <w:t>Please complete the review in Survey </w:t>
      </w:r>
      <w:r>
        <w:rPr>
          <w:b/>
          <w:spacing w:val="-3"/>
          <w:sz w:val="28"/>
        </w:rPr>
        <w:t>Monkey (</w:t>
      </w:r>
      <w:hyperlink r:id="rId7">
        <w:r>
          <w:rPr>
            <w:b/>
            <w:color w:val="0000FF"/>
            <w:spacing w:val="-3"/>
            <w:sz w:val="28"/>
            <w:u w:val="thick" w:color="0000FF"/>
          </w:rPr>
          <w:t>https://www.surveymonkey.com/r/9F8YGDN</w:t>
        </w:r>
      </w:hyperlink>
      <w:r>
        <w:rPr>
          <w:b/>
          <w:spacing w:val="-3"/>
          <w:sz w:val="28"/>
        </w:rPr>
        <w:t>) </w:t>
      </w:r>
      <w:r>
        <w:rPr>
          <w:b/>
          <w:sz w:val="28"/>
        </w:rPr>
        <w:t>for each </w:t>
      </w:r>
      <w:r>
        <w:rPr>
          <w:b/>
          <w:spacing w:val="-4"/>
          <w:sz w:val="28"/>
        </w:rPr>
        <w:t>consumer. </w:t>
      </w:r>
      <w:r>
        <w:rPr>
          <w:b/>
          <w:sz w:val="28"/>
        </w:rPr>
        <w:t>Consumers should not be identified in Survey </w:t>
      </w:r>
      <w:r>
        <w:rPr>
          <w:b/>
          <w:spacing w:val="-3"/>
          <w:sz w:val="28"/>
        </w:rPr>
        <w:t>Monkey </w:t>
      </w:r>
      <w:r>
        <w:rPr>
          <w:b/>
          <w:sz w:val="28"/>
        </w:rPr>
        <w:t>by name or prime </w:t>
      </w:r>
      <w:r>
        <w:rPr>
          <w:b/>
          <w:spacing w:val="-4"/>
          <w:sz w:val="28"/>
        </w:rPr>
        <w:t>number, </w:t>
      </w:r>
      <w:r>
        <w:rPr>
          <w:b/>
          <w:sz w:val="28"/>
        </w:rPr>
        <w:t>but by the unique identifying number provided with the list of consumers. This review cannot be completed by the staff person who did the CAPS assessment. If a replacement consumer is needed, please contact OPI Policy at</w:t>
      </w:r>
      <w:r>
        <w:rPr>
          <w:b/>
          <w:spacing w:val="-2"/>
          <w:sz w:val="28"/>
        </w:rPr>
        <w:t> </w:t>
      </w:r>
      <w:hyperlink r:id="rId8">
        <w:r>
          <w:rPr>
            <w:b/>
            <w:color w:val="0000FF"/>
            <w:spacing w:val="-3"/>
            <w:sz w:val="28"/>
            <w:u w:val="thick" w:color="0000FF"/>
          </w:rPr>
          <w:t>OPI.Policy@dhsoha.state.or.us</w:t>
        </w:r>
      </w:hyperlink>
    </w:p>
    <w:p>
      <w:pPr>
        <w:pStyle w:val="BodyText"/>
        <w:spacing w:before="11"/>
        <w:rPr>
          <w:b/>
          <w:sz w:val="20"/>
        </w:rPr>
      </w:pPr>
      <w:r>
        <w:rPr/>
        <w:pict>
          <v:line style="position:absolute;mso-position-horizontal-relative:page;mso-position-vertical-relative:paragraph;z-index:-976;mso-wrap-distance-left:0;mso-wrap-distance-right:0" from="21.999998pt,15.254439pt" to="759.000006pt,15.254439pt" stroked="true" strokeweight="1.0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231"/>
        <w:rPr>
          <w:rFonts w:ascii="Arial" w:hAnsi="Arial"/>
          <w:sz w:val="24"/>
        </w:rPr>
      </w:pPr>
      <w:r>
        <w:rPr/>
        <w:t>Any additional comments or summary on OPI consumer review? </w:t>
      </w:r>
      <w:r>
        <w:rPr>
          <w:rFonts w:ascii="Arial" w:hAnsi="Arial"/>
          <w:sz w:val="24"/>
        </w:rPr>
        <w:t>     </w:t>
      </w:r>
    </w:p>
    <w:p>
      <w:pPr>
        <w:spacing w:after="0"/>
        <w:rPr>
          <w:rFonts w:ascii="Arial" w:hAnsi="Arial"/>
          <w:sz w:val="24"/>
        </w:rPr>
        <w:sectPr>
          <w:pgSz w:w="15840" w:h="12240" w:orient="landscape"/>
          <w:pgMar w:header="0" w:footer="1037" w:top="420" w:bottom="1220" w:left="200" w:right="3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  <w:spacing w:line="530" w:lineRule="exact" w:before="11"/>
      </w:pPr>
      <w:r>
        <w:rPr/>
        <w:t>Part 3: Plans to Address Any Identified Gaps</w:t>
      </w:r>
    </w:p>
    <w:p>
      <w:pPr>
        <w:pStyle w:val="BodyText"/>
        <w:spacing w:line="232" w:lineRule="auto" w:before="2"/>
        <w:ind w:left="321" w:right="424"/>
      </w:pPr>
      <w:r>
        <w:rPr/>
        <w:t>Please identify any areas where your AAA or program partners are not fully meeting the standards, need assistance to meet the standards, or need to take further steps to reach a program goal.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6920"/>
        <w:gridCol w:w="2340"/>
        <w:gridCol w:w="2197"/>
      </w:tblGrid>
      <w:tr>
        <w:trPr>
          <w:trHeight w:val="1409" w:hRule="atLeast"/>
        </w:trPr>
        <w:tc>
          <w:tcPr>
            <w:tcW w:w="3078" w:type="dxa"/>
            <w:tcBorders>
              <w:left w:val="nil"/>
            </w:tcBorders>
            <w:shd w:val="clear" w:color="auto" w:fill="DAE4F1"/>
          </w:tcPr>
          <w:p>
            <w:pPr>
              <w:pStyle w:val="TableParagraph"/>
              <w:spacing w:line="232" w:lineRule="auto" w:before="17"/>
              <w:ind w:left="119" w:right="2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Issue where AAA is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not </w:t>
            </w:r>
            <w:r>
              <w:rPr>
                <w:b/>
                <w:spacing w:val="-2"/>
                <w:sz w:val="28"/>
              </w:rPr>
              <w:t>yet </w:t>
            </w:r>
            <w:r>
              <w:rPr>
                <w:b/>
                <w:sz w:val="28"/>
              </w:rPr>
              <w:t>meeting</w:t>
            </w:r>
            <w:r>
              <w:rPr>
                <w:b/>
                <w:spacing w:val="-20"/>
                <w:sz w:val="28"/>
              </w:rPr>
              <w:t> </w:t>
            </w:r>
            <w:r>
              <w:rPr>
                <w:b/>
                <w:sz w:val="28"/>
              </w:rPr>
              <w:t>standards, or facing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challenges</w:t>
            </w:r>
          </w:p>
        </w:tc>
        <w:tc>
          <w:tcPr>
            <w:tcW w:w="6920" w:type="dxa"/>
            <w:shd w:val="clear" w:color="auto" w:fill="DAE4F1"/>
          </w:tcPr>
          <w:p>
            <w:pPr>
              <w:pStyle w:val="TableParagraph"/>
              <w:spacing w:before="9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Proposed plan or steps the AAA will take.</w:t>
            </w:r>
          </w:p>
        </w:tc>
        <w:tc>
          <w:tcPr>
            <w:tcW w:w="2340" w:type="dxa"/>
            <w:shd w:val="clear" w:color="auto" w:fill="DAE4F1"/>
          </w:tcPr>
          <w:p>
            <w:pPr>
              <w:pStyle w:val="TableParagraph"/>
              <w:spacing w:line="232" w:lineRule="auto" w:before="17"/>
              <w:ind w:left="111" w:right="793"/>
              <w:rPr>
                <w:b/>
                <w:sz w:val="28"/>
              </w:rPr>
            </w:pPr>
            <w:r>
              <w:rPr>
                <w:b/>
                <w:sz w:val="28"/>
              </w:rPr>
              <w:t>Lead or responsible person</w:t>
            </w:r>
          </w:p>
        </w:tc>
        <w:tc>
          <w:tcPr>
            <w:tcW w:w="2197" w:type="dxa"/>
            <w:tcBorders>
              <w:right w:val="nil"/>
            </w:tcBorders>
            <w:shd w:val="clear" w:color="auto" w:fill="DAE4F1"/>
          </w:tcPr>
          <w:p>
            <w:pPr>
              <w:pStyle w:val="TableParagraph"/>
              <w:spacing w:line="232" w:lineRule="auto" w:before="17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Goal date for completion</w:t>
            </w:r>
          </w:p>
        </w:tc>
      </w:tr>
      <w:tr>
        <w:trPr>
          <w:trHeight w:val="750" w:hRule="atLeast"/>
        </w:trPr>
        <w:tc>
          <w:tcPr>
            <w:tcW w:w="3078" w:type="dxa"/>
            <w:tcBorders>
              <w:left w:val="nil"/>
            </w:tcBorders>
          </w:tcPr>
          <w:p>
            <w:pPr>
              <w:pStyle w:val="TableParagraph"/>
              <w:spacing w:line="336" w:lineRule="exact"/>
              <w:ind w:left="119"/>
              <w:rPr>
                <w:sz w:val="28"/>
              </w:rPr>
            </w:pPr>
            <w:r>
              <w:rPr>
                <w:sz w:val="28"/>
              </w:rPr>
              <w:t>1. late narration</w:t>
            </w:r>
          </w:p>
        </w:tc>
        <w:tc>
          <w:tcPr>
            <w:tcW w:w="6920" w:type="dxa"/>
          </w:tcPr>
          <w:p>
            <w:pPr>
              <w:pStyle w:val="TableParagraph"/>
              <w:spacing w:line="232" w:lineRule="auto" w:before="2"/>
              <w:ind w:left="507" w:right="298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</w:t>
            </w:r>
            <w:r>
              <w:rPr>
                <w:sz w:val="28"/>
              </w:rPr>
              <w:t>Provide refresher education on narration standards at CM meeting</w:t>
            </w:r>
            <w:r>
              <w:rPr>
                <w:rFonts w:ascii="Arial" w:hAnsi="Arial"/>
                <w:sz w:val="28"/>
              </w:rPr>
              <w:t>  </w:t>
            </w:r>
          </w:p>
        </w:tc>
        <w:tc>
          <w:tcPr>
            <w:tcW w:w="2340" w:type="dxa"/>
          </w:tcPr>
          <w:p>
            <w:pPr>
              <w:pStyle w:val="TableParagraph"/>
              <w:spacing w:line="232" w:lineRule="auto" w:before="2"/>
              <w:ind w:left="516" w:right="793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 </w:t>
            </w:r>
            <w:r>
              <w:rPr>
                <w:sz w:val="28"/>
              </w:rPr>
              <w:t>contract liaisons</w:t>
            </w:r>
            <w:r>
              <w:rPr>
                <w:rFonts w:ascii="Arial" w:hAnsi="Arial"/>
                <w:sz w:val="28"/>
              </w:rPr>
              <w:t> </w:t>
            </w:r>
          </w:p>
        </w:tc>
        <w:tc>
          <w:tcPr>
            <w:tcW w:w="2197" w:type="dxa"/>
            <w:tcBorders>
              <w:right w:val="nil"/>
            </w:tcBorders>
          </w:tcPr>
          <w:p>
            <w:pPr>
              <w:pStyle w:val="TableParagraph"/>
              <w:spacing w:before="159"/>
              <w:ind w:left="141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   </w:t>
            </w:r>
            <w:r>
              <w:rPr>
                <w:sz w:val="28"/>
              </w:rPr>
              <w:t>April 2022</w:t>
            </w:r>
          </w:p>
        </w:tc>
      </w:tr>
      <w:tr>
        <w:trPr>
          <w:trHeight w:val="1110" w:hRule="atLeast"/>
        </w:trPr>
        <w:tc>
          <w:tcPr>
            <w:tcW w:w="3078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2. caps comments</w:t>
            </w:r>
          </w:p>
        </w:tc>
        <w:tc>
          <w:tcPr>
            <w:tcW w:w="6920" w:type="dxa"/>
          </w:tcPr>
          <w:p>
            <w:pPr>
              <w:pStyle w:val="TableParagraph"/>
              <w:spacing w:line="232" w:lineRule="auto" w:before="17"/>
              <w:ind w:left="507" w:hanging="360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</w:t>
            </w:r>
            <w:r>
              <w:rPr>
                <w:sz w:val="28"/>
              </w:rPr>
              <w:t>Share CAPS comments training with program managers to go over with staff and also add areas needing improvement to CM meeting agenda</w:t>
            </w:r>
          </w:p>
        </w:tc>
        <w:tc>
          <w:tcPr>
            <w:tcW w:w="2340" w:type="dxa"/>
          </w:tcPr>
          <w:p>
            <w:pPr>
              <w:pStyle w:val="TableParagraph"/>
              <w:spacing w:line="232" w:lineRule="auto" w:before="182"/>
              <w:ind w:left="516" w:right="793" w:hanging="360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 </w:t>
            </w:r>
            <w:r>
              <w:rPr>
                <w:sz w:val="28"/>
              </w:rPr>
              <w:t>contract liaisons</w:t>
            </w:r>
          </w:p>
        </w:tc>
        <w:tc>
          <w:tcPr>
            <w:tcW w:w="219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4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   </w:t>
            </w:r>
            <w:r>
              <w:rPr>
                <w:sz w:val="28"/>
              </w:rPr>
              <w:t>April 2022</w:t>
            </w:r>
            <w:r>
              <w:rPr>
                <w:rFonts w:ascii="Arial" w:hAnsi="Arial"/>
                <w:sz w:val="28"/>
              </w:rPr>
              <w:t>  </w:t>
            </w:r>
          </w:p>
        </w:tc>
      </w:tr>
      <w:tr>
        <w:trPr>
          <w:trHeight w:val="749" w:hRule="atLeast"/>
        </w:trPr>
        <w:tc>
          <w:tcPr>
            <w:tcW w:w="3078" w:type="dxa"/>
            <w:tcBorders>
              <w:left w:val="nil"/>
            </w:tcBorders>
          </w:tcPr>
          <w:p>
            <w:pPr>
              <w:pStyle w:val="TableParagraph"/>
              <w:spacing w:line="232" w:lineRule="auto" w:before="2"/>
              <w:ind w:left="479" w:hanging="360"/>
              <w:rPr>
                <w:sz w:val="28"/>
              </w:rPr>
            </w:pPr>
            <w:r>
              <w:rPr>
                <w:sz w:val="28"/>
              </w:rPr>
              <w:t>3. assessment narration template</w:t>
            </w:r>
          </w:p>
        </w:tc>
        <w:tc>
          <w:tcPr>
            <w:tcW w:w="6920" w:type="dxa"/>
          </w:tcPr>
          <w:p>
            <w:pPr>
              <w:pStyle w:val="TableParagraph"/>
              <w:spacing w:line="332" w:lineRule="exact"/>
              <w:ind w:left="147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</w:t>
            </w:r>
            <w:r>
              <w:rPr>
                <w:sz w:val="28"/>
              </w:rPr>
              <w:t>Update to include all required forms and status of forms</w:t>
            </w:r>
          </w:p>
          <w:p>
            <w:pPr>
              <w:pStyle w:val="TableParagraph"/>
              <w:spacing w:line="318" w:lineRule="exact"/>
              <w:ind w:left="50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    </w:t>
            </w:r>
          </w:p>
        </w:tc>
        <w:tc>
          <w:tcPr>
            <w:tcW w:w="2340" w:type="dxa"/>
          </w:tcPr>
          <w:p>
            <w:pPr>
              <w:pStyle w:val="TableParagraph"/>
              <w:spacing w:line="232" w:lineRule="auto" w:before="2"/>
              <w:ind w:left="516" w:right="653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</w:t>
            </w:r>
            <w:r>
              <w:rPr>
                <w:sz w:val="28"/>
              </w:rPr>
              <w:t>contract liaisons</w:t>
            </w:r>
            <w:r>
              <w:rPr>
                <w:rFonts w:ascii="Arial" w:hAnsi="Arial"/>
                <w:sz w:val="28"/>
              </w:rPr>
              <w:t>  </w:t>
            </w:r>
          </w:p>
        </w:tc>
        <w:tc>
          <w:tcPr>
            <w:tcW w:w="2197" w:type="dxa"/>
            <w:tcBorders>
              <w:right w:val="nil"/>
            </w:tcBorders>
          </w:tcPr>
          <w:p>
            <w:pPr>
              <w:pStyle w:val="TableParagraph"/>
              <w:spacing w:before="159"/>
              <w:ind w:left="141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   </w:t>
            </w:r>
            <w:r>
              <w:rPr>
                <w:sz w:val="28"/>
              </w:rPr>
              <w:t>April 2022</w:t>
            </w:r>
            <w:r>
              <w:rPr>
                <w:rFonts w:ascii="Arial" w:hAnsi="Arial"/>
                <w:sz w:val="28"/>
              </w:rPr>
              <w:t>  </w:t>
            </w:r>
          </w:p>
        </w:tc>
      </w:tr>
    </w:tbl>
    <w:p>
      <w:pPr>
        <w:spacing w:after="0"/>
        <w:rPr>
          <w:rFonts w:ascii="Arial" w:hAnsi="Arial"/>
          <w:sz w:val="28"/>
        </w:rPr>
        <w:sectPr>
          <w:pgSz w:w="15840" w:h="12240" w:orient="landscape"/>
          <w:pgMar w:header="0" w:footer="1037" w:top="1140" w:bottom="1220" w:left="200" w:right="360"/>
        </w:sectPr>
      </w:pPr>
    </w:p>
    <w:p>
      <w:pPr>
        <w:pStyle w:val="Heading1"/>
        <w:spacing w:line="533" w:lineRule="exact"/>
        <w:ind w:left="276"/>
      </w:pPr>
      <w:r>
        <w:rPr/>
        <w:t>Part 4: Areas of Program Success</w:t>
      </w:r>
    </w:p>
    <w:p>
      <w:pPr>
        <w:pStyle w:val="BodyText"/>
        <w:spacing w:line="232" w:lineRule="auto" w:before="84"/>
        <w:ind w:left="321" w:right="65"/>
      </w:pPr>
      <w:r>
        <w:rPr/>
        <w:t>Please identify any areas where your AAA has been successful in achieving or exceeding its goals while fully meeting the standards, and identify the main factor(s) in achieving success.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5240"/>
        <w:gridCol w:w="5892"/>
      </w:tblGrid>
      <w:tr>
        <w:trPr>
          <w:trHeight w:val="769" w:hRule="atLeast"/>
        </w:trPr>
        <w:tc>
          <w:tcPr>
            <w:tcW w:w="2998" w:type="dxa"/>
            <w:tcBorders>
              <w:left w:val="nil"/>
            </w:tcBorders>
            <w:shd w:val="clear" w:color="auto" w:fill="DAE4F1"/>
          </w:tcPr>
          <w:p>
            <w:pPr>
              <w:pStyle w:val="TableParagraph"/>
              <w:spacing w:line="34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Area of success</w:t>
            </w:r>
          </w:p>
        </w:tc>
        <w:tc>
          <w:tcPr>
            <w:tcW w:w="5240" w:type="dxa"/>
            <w:shd w:val="clear" w:color="auto" w:fill="DAE4F1"/>
          </w:tcPr>
          <w:p>
            <w:pPr>
              <w:pStyle w:val="TableParagraph"/>
              <w:spacing w:line="232" w:lineRule="auto" w:before="7"/>
              <w:ind w:left="107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Brief description of particular program success and sustainability</w:t>
            </w:r>
          </w:p>
        </w:tc>
        <w:tc>
          <w:tcPr>
            <w:tcW w:w="5892" w:type="dxa"/>
            <w:tcBorders>
              <w:right w:val="nil"/>
            </w:tcBorders>
            <w:shd w:val="clear" w:color="auto" w:fill="DAE4F1"/>
          </w:tcPr>
          <w:p>
            <w:pPr>
              <w:pStyle w:val="TableParagraph"/>
              <w:spacing w:line="232" w:lineRule="auto" w:before="7"/>
              <w:ind w:left="101" w:right="505"/>
              <w:rPr>
                <w:b/>
                <w:sz w:val="28"/>
              </w:rPr>
            </w:pPr>
            <w:r>
              <w:rPr>
                <w:b/>
                <w:sz w:val="28"/>
              </w:rPr>
              <w:t>Main factor(s) leading to particular success (be brief and specific)</w:t>
            </w:r>
          </w:p>
        </w:tc>
      </w:tr>
      <w:tr>
        <w:trPr>
          <w:trHeight w:val="750" w:hRule="atLeast"/>
        </w:trPr>
        <w:tc>
          <w:tcPr>
            <w:tcW w:w="2998" w:type="dxa"/>
            <w:tcBorders>
              <w:left w:val="nil"/>
            </w:tcBorders>
          </w:tcPr>
          <w:p>
            <w:pPr>
              <w:pStyle w:val="TableParagraph"/>
              <w:spacing w:line="336" w:lineRule="exact"/>
              <w:ind w:left="119"/>
              <w:rPr>
                <w:sz w:val="28"/>
              </w:rPr>
            </w:pPr>
            <w:r>
              <w:rPr>
                <w:sz w:val="28"/>
              </w:rPr>
              <w:t>1. good narration</w:t>
            </w:r>
          </w:p>
        </w:tc>
        <w:tc>
          <w:tcPr>
            <w:tcW w:w="5240" w:type="dxa"/>
          </w:tcPr>
          <w:p>
            <w:pPr>
              <w:pStyle w:val="TableParagraph"/>
              <w:spacing w:line="232" w:lineRule="auto" w:before="2"/>
              <w:ind w:left="512" w:right="101" w:hanging="360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</w:t>
            </w:r>
            <w:r>
              <w:rPr>
                <w:sz w:val="28"/>
              </w:rPr>
              <w:t>Narration was professional and complete, easy to follow</w:t>
            </w:r>
          </w:p>
        </w:tc>
        <w:tc>
          <w:tcPr>
            <w:tcW w:w="5892" w:type="dxa"/>
            <w:tcBorders>
              <w:right w:val="nil"/>
            </w:tcBorders>
          </w:tcPr>
          <w:p>
            <w:pPr>
              <w:pStyle w:val="TableParagraph"/>
              <w:spacing w:line="232" w:lineRule="auto" w:before="2"/>
              <w:ind w:left="506" w:right="505" w:hanging="360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</w:t>
            </w:r>
            <w:r>
              <w:rPr>
                <w:sz w:val="28"/>
              </w:rPr>
              <w:t>narration training emphasizes professional, non-pejorative language</w:t>
            </w:r>
          </w:p>
        </w:tc>
      </w:tr>
      <w:tr>
        <w:trPr>
          <w:trHeight w:val="1770" w:hRule="atLeast"/>
        </w:trPr>
        <w:tc>
          <w:tcPr>
            <w:tcW w:w="2998" w:type="dxa"/>
            <w:tcBorders>
              <w:left w:val="nil"/>
            </w:tcBorders>
          </w:tcPr>
          <w:p>
            <w:pPr>
              <w:pStyle w:val="TableParagraph"/>
              <w:spacing w:line="232" w:lineRule="auto" w:before="17"/>
              <w:ind w:left="479" w:right="42" w:hanging="360"/>
              <w:rPr>
                <w:sz w:val="28"/>
              </w:rPr>
            </w:pPr>
            <w:r>
              <w:rPr>
                <w:sz w:val="28"/>
              </w:rPr>
              <w:t>2. keeping Oregon Access up to date</w:t>
            </w:r>
          </w:p>
        </w:tc>
        <w:tc>
          <w:tcPr>
            <w:tcW w:w="5240" w:type="dxa"/>
          </w:tcPr>
          <w:p>
            <w:pPr>
              <w:pStyle w:val="TableParagraph"/>
              <w:spacing w:line="232" w:lineRule="auto" w:before="182"/>
              <w:ind w:left="512" w:right="140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 </w:t>
            </w:r>
            <w:r>
              <w:rPr>
                <w:sz w:val="28"/>
              </w:rPr>
              <w:t>Case managers are assigned </w:t>
            </w:r>
            <w:r>
              <w:rPr>
                <w:spacing w:val="-3"/>
                <w:sz w:val="28"/>
              </w:rPr>
              <w:t>for </w:t>
            </w:r>
            <w:r>
              <w:rPr>
                <w:sz w:val="28"/>
              </w:rPr>
              <w:t>OPI and service, OPI  </w:t>
            </w:r>
            <w:r>
              <w:rPr>
                <w:spacing w:val="-3"/>
                <w:sz w:val="28"/>
              </w:rPr>
              <w:t>box </w:t>
            </w:r>
            <w:r>
              <w:rPr>
                <w:sz w:val="28"/>
              </w:rPr>
              <w:t>checked, demographics completed, narration complete</w:t>
            </w:r>
            <w:r>
              <w:rPr>
                <w:rFonts w:ascii="Arial" w:hAnsi="Arial"/>
                <w:sz w:val="28"/>
              </w:rPr>
              <w:t> </w:t>
            </w:r>
          </w:p>
        </w:tc>
        <w:tc>
          <w:tcPr>
            <w:tcW w:w="5892" w:type="dxa"/>
            <w:tcBorders>
              <w:right w:val="nil"/>
            </w:tcBorders>
          </w:tcPr>
          <w:p>
            <w:pPr>
              <w:pStyle w:val="TableParagraph"/>
              <w:spacing w:line="232" w:lineRule="auto" w:before="17"/>
              <w:ind w:left="506" w:right="147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   </w:t>
            </w:r>
            <w:r>
              <w:rPr>
                <w:sz w:val="28"/>
              </w:rPr>
              <w:t>Contracted agencies assign lead worker who supplements county efforts at QA; agency Program Managers conduct QA using standard tool based on previous monitoring tool </w:t>
            </w:r>
            <w:r>
              <w:rPr>
                <w:rFonts w:ascii="Arial" w:hAnsi="Arial"/>
                <w:sz w:val="28"/>
              </w:rPr>
              <w:t> </w:t>
            </w:r>
          </w:p>
        </w:tc>
      </w:tr>
      <w:tr>
        <w:trPr>
          <w:trHeight w:val="1090" w:hRule="atLeast"/>
        </w:trPr>
        <w:tc>
          <w:tcPr>
            <w:tcW w:w="2998" w:type="dxa"/>
            <w:tcBorders>
              <w:left w:val="nil"/>
            </w:tcBorders>
          </w:tcPr>
          <w:p>
            <w:pPr>
              <w:pStyle w:val="TableParagraph"/>
              <w:spacing w:line="232" w:lineRule="auto" w:before="2"/>
              <w:ind w:left="479" w:hanging="360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3. maintaining accurate waitlists</w:t>
            </w:r>
            <w:r>
              <w:rPr>
                <w:rFonts w:ascii="Arial" w:hAnsi="Arial"/>
                <w:sz w:val="28"/>
              </w:rPr>
              <w:t>  </w:t>
            </w:r>
          </w:p>
        </w:tc>
        <w:tc>
          <w:tcPr>
            <w:tcW w:w="5240" w:type="dxa"/>
          </w:tcPr>
          <w:p>
            <w:pPr>
              <w:pStyle w:val="TableParagraph"/>
              <w:spacing w:line="232" w:lineRule="auto" w:before="2"/>
              <w:ind w:left="512" w:right="101" w:hanging="360"/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   </w:t>
            </w:r>
            <w:r>
              <w:rPr>
                <w:sz w:val="28"/>
              </w:rPr>
              <w:t>Contractors are using waitlist tool, keeping waitlists up to date; waitlists submitted monthly with deliverables</w:t>
            </w:r>
          </w:p>
        </w:tc>
        <w:tc>
          <w:tcPr>
            <w:tcW w:w="5892" w:type="dxa"/>
            <w:tcBorders>
              <w:right w:val="nil"/>
            </w:tcBorders>
          </w:tcPr>
          <w:p>
            <w:pPr>
              <w:pStyle w:val="TableParagraph"/>
              <w:spacing w:line="232" w:lineRule="auto" w:before="167"/>
              <w:ind w:left="506" w:right="147" w:hanging="36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   </w:t>
            </w:r>
            <w:r>
              <w:rPr>
                <w:sz w:val="28"/>
              </w:rPr>
              <w:t>submit waitlist monthly with updated status of scores</w:t>
            </w:r>
            <w:r>
              <w:rPr>
                <w:rFonts w:ascii="Arial" w:hAnsi="Arial"/>
                <w:sz w:val="28"/>
              </w:rPr>
              <w:t>  </w:t>
            </w:r>
          </w:p>
        </w:tc>
      </w:tr>
    </w:tbl>
    <w:p>
      <w:pPr>
        <w:tabs>
          <w:tab w:pos="10226" w:val="left" w:leader="none"/>
        </w:tabs>
        <w:spacing w:before="124"/>
        <w:ind w:left="3768" w:right="0" w:firstLine="0"/>
        <w:jc w:val="left"/>
        <w:rPr>
          <w:sz w:val="32"/>
        </w:rPr>
      </w:pPr>
      <w:r>
        <w:rPr>
          <w:b/>
          <w:sz w:val="32"/>
        </w:rPr>
        <w:t>Please submit only to</w:t>
      </w:r>
      <w:r>
        <w:rPr>
          <w:b/>
          <w:spacing w:val="-17"/>
          <w:sz w:val="32"/>
        </w:rPr>
        <w:t> </w:t>
      </w:r>
      <w:hyperlink r:id="rId6">
        <w:r>
          <w:rPr>
            <w:color w:val="0000FF"/>
            <w:sz w:val="32"/>
            <w:u w:val="thick" w:color="0000FF"/>
          </w:rPr>
          <w:t>SUA.Email@</w:t>
        </w:r>
        <w:r>
          <w:rPr>
            <w:color w:val="0000FF"/>
            <w:spacing w:val="-5"/>
            <w:sz w:val="32"/>
            <w:u w:val="thick" w:color="0000FF"/>
          </w:rPr>
          <w:t> state.or.us</w:t>
        </w:r>
      </w:hyperlink>
      <w:r>
        <w:rPr>
          <w:spacing w:val="-5"/>
          <w:sz w:val="32"/>
        </w:rPr>
        <w:t>.</w:t>
        <w:tab/>
      </w:r>
      <w:r>
        <w:rPr>
          <w:sz w:val="32"/>
        </w:rPr>
        <w:t>Thank</w:t>
      </w:r>
      <w:r>
        <w:rPr>
          <w:spacing w:val="-1"/>
          <w:sz w:val="32"/>
        </w:rPr>
        <w:t> </w:t>
      </w:r>
      <w:r>
        <w:rPr>
          <w:sz w:val="32"/>
        </w:rPr>
        <w:t>you!</w:t>
      </w:r>
    </w:p>
    <w:sectPr>
      <w:pgSz w:w="15840" w:h="12240" w:orient="landscape"/>
      <w:pgMar w:header="0" w:footer="1037" w:top="440" w:bottom="1220" w:left="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236023pt;margin-top:549.169983pt;width:114.8pt;height:14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OPI Monitoring Form </w:t>
                </w:r>
                <w:r>
                  <w:rPr>
                    <w:b/>
                    <w:sz w:val="24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745.071777pt;margin-top:549.169983pt;width:27.35pt;height:28.25pt;mso-position-horizontal-relative:page;mso-position-vertical-relative:page;z-index:-8128" type="#_x0000_t202" filled="false" stroked="false">
          <v:textbox inset="0,0,0,0">
            <w:txbxContent>
              <w:p>
                <w:pPr>
                  <w:spacing w:line="260" w:lineRule="exact" w:before="0"/>
                  <w:ind w:left="0" w:right="3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2022</w:t>
                </w:r>
              </w:p>
              <w:p>
                <w:pPr>
                  <w:spacing w:line="289" w:lineRule="exact" w:before="0"/>
                  <w:ind w:left="0" w:right="3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Heading1" w:type="paragraph">
    <w:name w:val="Heading 1"/>
    <w:basedOn w:val="Normal"/>
    <w:uiPriority w:val="1"/>
    <w:qFormat/>
    <w:pPr>
      <w:ind w:left="231"/>
      <w:outlineLvl w:val="1"/>
    </w:pPr>
    <w:rPr>
      <w:rFonts w:ascii="Calibri" w:hAnsi="Calibri" w:eastAsia="Calibri" w:cs="Calibri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UA.Email@dhsoha.state.or.us" TargetMode="External"/><Relationship Id="rId7" Type="http://schemas.openxmlformats.org/officeDocument/2006/relationships/hyperlink" Target="https://www.surveymonkey.com/r/9F8YGDN" TargetMode="External"/><Relationship Id="rId8" Type="http://schemas.openxmlformats.org/officeDocument/2006/relationships/hyperlink" Target="mailto:OPI.Policy@dhsoha.state.or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OPI-Assessment-Tool-2022 (2).docx</dc:title>
  <dcterms:created xsi:type="dcterms:W3CDTF">2022-01-14T15:30:43Z</dcterms:created>
  <dcterms:modified xsi:type="dcterms:W3CDTF">2022-01-14T15:30:43Z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